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3BA25" w14:textId="593A5157" w:rsidR="000F46B8" w:rsidRDefault="002E4888" w:rsidP="00B051E7">
      <w:pPr>
        <w:spacing w:after="0" w:line="240" w:lineRule="auto"/>
        <w:jc w:val="center"/>
        <w:rPr>
          <w:rFonts w:ascii="Cambria" w:hAnsi="Cambria"/>
          <w:b/>
          <w:bCs/>
          <w:sz w:val="28"/>
          <w:szCs w:val="28"/>
        </w:rPr>
      </w:pPr>
      <w:r w:rsidRPr="002E4888">
        <w:rPr>
          <w:rFonts w:ascii="Cambria" w:hAnsi="Cambria"/>
          <w:b/>
          <w:bCs/>
          <w:sz w:val="28"/>
          <w:szCs w:val="28"/>
        </w:rPr>
        <w:t>PERAN TASAWUF DALAM MEMBENTUK KARAKTER SOSIAL PESERTA DIDIK DI ERA MODERN</w:t>
      </w:r>
    </w:p>
    <w:p w14:paraId="2D4F54DE" w14:textId="77777777" w:rsidR="002E4888" w:rsidRDefault="002E4888" w:rsidP="00B051E7">
      <w:pPr>
        <w:spacing w:after="0" w:line="240" w:lineRule="auto"/>
        <w:jc w:val="center"/>
        <w:rPr>
          <w:rFonts w:ascii="Cambria" w:eastAsia="Garamond" w:hAnsi="Cambria" w:cs="Garamond"/>
          <w:b/>
          <w:bCs/>
          <w:color w:val="000000"/>
          <w:sz w:val="28"/>
          <w:szCs w:val="28"/>
        </w:rPr>
      </w:pPr>
    </w:p>
    <w:p w14:paraId="1630153A" w14:textId="060D02F6" w:rsidR="000F46B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2"/>
          <w:szCs w:val="22"/>
        </w:rPr>
      </w:pPr>
      <w:r w:rsidRPr="002E4888">
        <w:rPr>
          <w:rFonts w:ascii="Cambria" w:eastAsia="Garamond" w:hAnsi="Cambria" w:cs="Garamond"/>
          <w:b/>
          <w:color w:val="000000"/>
          <w:sz w:val="22"/>
          <w:szCs w:val="22"/>
        </w:rPr>
        <w:t>Ahmad Roi Berliansyah, Zakia Ahmad, Nurut Taufik</w:t>
      </w:r>
    </w:p>
    <w:p w14:paraId="3C37478C" w14:textId="7777777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2"/>
          <w:szCs w:val="22"/>
        </w:rPr>
      </w:pPr>
    </w:p>
    <w:p w14:paraId="439DD6B3" w14:textId="77777777" w:rsidR="002E4888" w:rsidRDefault="002E4888" w:rsidP="000F46B8">
      <w:pPr>
        <w:spacing w:after="0" w:line="240" w:lineRule="auto"/>
        <w:jc w:val="center"/>
        <w:rPr>
          <w:rFonts w:ascii="Garamond" w:eastAsia="Times New Roman" w:hAnsi="Garamond" w:cs="Times New Roman"/>
          <w:color w:val="000000"/>
          <w:sz w:val="22"/>
          <w:szCs w:val="22"/>
          <w:lang w:val="en-US" w:eastAsia="id-ID"/>
        </w:rPr>
      </w:pPr>
      <w:proofErr w:type="spellStart"/>
      <w:r w:rsidRPr="002E4888">
        <w:rPr>
          <w:rFonts w:ascii="Garamond" w:eastAsia="Times New Roman" w:hAnsi="Garamond" w:cs="Times New Roman"/>
          <w:color w:val="000000"/>
          <w:sz w:val="22"/>
          <w:szCs w:val="22"/>
          <w:lang w:val="en-US" w:eastAsia="id-ID"/>
        </w:rPr>
        <w:t>Sekolah</w:t>
      </w:r>
      <w:proofErr w:type="spellEnd"/>
      <w:r w:rsidRPr="002E4888">
        <w:rPr>
          <w:rFonts w:ascii="Garamond" w:eastAsia="Times New Roman" w:hAnsi="Garamond" w:cs="Times New Roman"/>
          <w:color w:val="000000"/>
          <w:sz w:val="22"/>
          <w:szCs w:val="22"/>
          <w:lang w:val="en-US" w:eastAsia="id-ID"/>
        </w:rPr>
        <w:t xml:space="preserve"> Tinggi </w:t>
      </w:r>
      <w:proofErr w:type="spellStart"/>
      <w:r w:rsidRPr="002E4888">
        <w:rPr>
          <w:rFonts w:ascii="Garamond" w:eastAsia="Times New Roman" w:hAnsi="Garamond" w:cs="Times New Roman"/>
          <w:color w:val="000000"/>
          <w:sz w:val="22"/>
          <w:szCs w:val="22"/>
          <w:lang w:val="en-US" w:eastAsia="id-ID"/>
        </w:rPr>
        <w:t>Ilmu</w:t>
      </w:r>
      <w:proofErr w:type="spellEnd"/>
      <w:r w:rsidRPr="002E4888">
        <w:rPr>
          <w:rFonts w:ascii="Garamond" w:eastAsia="Times New Roman" w:hAnsi="Garamond" w:cs="Times New Roman"/>
          <w:color w:val="000000"/>
          <w:sz w:val="22"/>
          <w:szCs w:val="22"/>
          <w:lang w:val="en-US" w:eastAsia="id-ID"/>
        </w:rPr>
        <w:t xml:space="preserve"> </w:t>
      </w:r>
      <w:proofErr w:type="spellStart"/>
      <w:r w:rsidRPr="002E4888">
        <w:rPr>
          <w:rFonts w:ascii="Garamond" w:eastAsia="Times New Roman" w:hAnsi="Garamond" w:cs="Times New Roman"/>
          <w:color w:val="000000"/>
          <w:sz w:val="22"/>
          <w:szCs w:val="22"/>
          <w:lang w:val="en-US" w:eastAsia="id-ID"/>
        </w:rPr>
        <w:t>Tarbiyah</w:t>
      </w:r>
      <w:proofErr w:type="spellEnd"/>
      <w:r w:rsidRPr="002E4888">
        <w:rPr>
          <w:rFonts w:ascii="Garamond" w:eastAsia="Times New Roman" w:hAnsi="Garamond" w:cs="Times New Roman"/>
          <w:color w:val="000000"/>
          <w:sz w:val="22"/>
          <w:szCs w:val="22"/>
          <w:lang w:val="en-US" w:eastAsia="id-ID"/>
        </w:rPr>
        <w:t xml:space="preserve"> Balikpapan Indonesia</w:t>
      </w:r>
    </w:p>
    <w:p w14:paraId="3987A072" w14:textId="60D233BB" w:rsidR="00260DAF" w:rsidRDefault="00736E51" w:rsidP="002E4888">
      <w:pPr>
        <w:pStyle w:val="NoSpacing"/>
        <w:tabs>
          <w:tab w:val="left" w:pos="4296"/>
        </w:tabs>
        <w:ind w:left="540"/>
        <w:jc w:val="center"/>
        <w:rPr>
          <w:rFonts w:ascii="Cambria" w:hAnsi="Cambria" w:cs="Times New Roman"/>
          <w:sz w:val="20"/>
          <w:szCs w:val="20"/>
          <w:lang w:val="en-US"/>
        </w:rPr>
      </w:pPr>
      <w:hyperlink r:id="rId8" w:history="1">
        <w:r w:rsidR="002E4888" w:rsidRPr="002E4888">
          <w:rPr>
            <w:rStyle w:val="Hyperlink"/>
            <w:rFonts w:ascii="Cambria" w:hAnsi="Cambria"/>
            <w:sz w:val="20"/>
            <w:szCs w:val="20"/>
          </w:rPr>
          <w:t>ahmadroisboik@gmail.com</w:t>
        </w:r>
      </w:hyperlink>
      <w:r w:rsidR="002E4888" w:rsidRPr="002E4888">
        <w:rPr>
          <w:rFonts w:ascii="Cambria" w:hAnsi="Cambria"/>
          <w:sz w:val="20"/>
          <w:szCs w:val="20"/>
        </w:rPr>
        <w:t xml:space="preserve">, </w:t>
      </w:r>
      <w:hyperlink r:id="rId9" w:history="1">
        <w:r w:rsidR="002E4888" w:rsidRPr="002E4888">
          <w:rPr>
            <w:rStyle w:val="Hyperlink"/>
            <w:rFonts w:ascii="Cambria" w:hAnsi="Cambria" w:cs="Times New Roman"/>
            <w:sz w:val="20"/>
            <w:szCs w:val="20"/>
            <w:lang w:val="en-US"/>
          </w:rPr>
          <w:t>zackahmed375@gmail.com</w:t>
        </w:r>
      </w:hyperlink>
      <w:r w:rsidR="002E4888" w:rsidRPr="002E4888">
        <w:rPr>
          <w:rFonts w:ascii="Cambria" w:hAnsi="Cambria" w:cs="Times New Roman"/>
          <w:color w:val="000000" w:themeColor="text1"/>
          <w:sz w:val="20"/>
          <w:szCs w:val="20"/>
          <w:lang w:val="en-US"/>
        </w:rPr>
        <w:t>,</w:t>
      </w:r>
      <w:hyperlink r:id="rId10" w:history="1">
        <w:r w:rsidR="002E4888" w:rsidRPr="002E4888">
          <w:rPr>
            <w:rStyle w:val="Hyperlink"/>
            <w:rFonts w:ascii="Cambria" w:hAnsi="Cambria" w:cs="Times New Roman"/>
            <w:sz w:val="20"/>
            <w:szCs w:val="20"/>
            <w:lang w:val="en-US"/>
          </w:rPr>
          <w:t>nrtaufik@gmail.com</w:t>
        </w:r>
      </w:hyperlink>
    </w:p>
    <w:p w14:paraId="7B17759B" w14:textId="77777777" w:rsidR="002E4888" w:rsidRPr="002E4888" w:rsidRDefault="002E4888" w:rsidP="002E4888">
      <w:pPr>
        <w:pStyle w:val="NoSpacing"/>
        <w:tabs>
          <w:tab w:val="left" w:pos="4296"/>
        </w:tabs>
        <w:ind w:left="540"/>
        <w:jc w:val="center"/>
        <w:rPr>
          <w:rFonts w:ascii="Cambria" w:hAnsi="Cambria"/>
          <w:sz w:val="20"/>
          <w:szCs w:val="20"/>
          <w:lang w:val="en-US"/>
        </w:rPr>
      </w:pPr>
    </w:p>
    <w:p w14:paraId="04080E0F" w14:textId="77777777" w:rsidR="00B051E7" w:rsidRDefault="00B051E7" w:rsidP="00B051E7">
      <w:pPr>
        <w:pStyle w:val="Heading2"/>
        <w:spacing w:before="0"/>
        <w:rPr>
          <w:rFonts w:ascii="Cambria" w:hAnsi="Cambria"/>
          <w:bCs/>
          <w:color w:val="auto"/>
          <w:sz w:val="22"/>
          <w:szCs w:val="22"/>
        </w:rPr>
      </w:pPr>
      <w:r>
        <w:rPr>
          <w:rStyle w:val="Strong"/>
          <w:rFonts w:ascii="Cambria" w:hAnsi="Cambria"/>
          <w:color w:val="auto"/>
          <w:sz w:val="22"/>
          <w:szCs w:val="22"/>
        </w:rPr>
        <w:t>Abstract:</w:t>
      </w:r>
    </w:p>
    <w:p w14:paraId="28D93E39" w14:textId="103C253F" w:rsidR="00F27532" w:rsidRDefault="002E4888"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2E4888">
        <w:rPr>
          <w:rFonts w:ascii="Georgia" w:eastAsia="Times New Roman" w:hAnsi="Georgia" w:cs="Times New Roman"/>
          <w:i/>
          <w:iCs/>
          <w:sz w:val="20"/>
          <w:szCs w:val="20"/>
          <w:lang w:val="en-US" w:eastAsia="en-GB"/>
        </w:rPr>
        <w:t xml:space="preserve">The fast movement of globalization and technological advancement has significantly influenced students’ social character, often pushing them toward more individualistic and material-oriented attitudes. This study examines how Sufism contributes to shaping students’ social character in the academic setting of STIT Balikpapan. Using a qualitative descriptive method supported by interviews, observations, and documentation, the research found that core Sufi values such as </w:t>
      </w:r>
      <w:proofErr w:type="spellStart"/>
      <w:r w:rsidRPr="002E4888">
        <w:rPr>
          <w:rFonts w:ascii="Georgia" w:eastAsia="Times New Roman" w:hAnsi="Georgia" w:cs="Times New Roman"/>
          <w:i/>
          <w:iCs/>
          <w:sz w:val="20"/>
          <w:szCs w:val="20"/>
          <w:lang w:val="en-US" w:eastAsia="en-GB"/>
        </w:rPr>
        <w:t>tazkiyah</w:t>
      </w:r>
      <w:proofErr w:type="spellEnd"/>
      <w:r w:rsidRPr="002E4888">
        <w:rPr>
          <w:rFonts w:ascii="Georgia" w:eastAsia="Times New Roman" w:hAnsi="Georgia" w:cs="Times New Roman"/>
          <w:i/>
          <w:iCs/>
          <w:sz w:val="20"/>
          <w:szCs w:val="20"/>
          <w:lang w:val="en-US" w:eastAsia="en-GB"/>
        </w:rPr>
        <w:t xml:space="preserve"> al-</w:t>
      </w:r>
      <w:proofErr w:type="spellStart"/>
      <w:r w:rsidRPr="002E4888">
        <w:rPr>
          <w:rFonts w:ascii="Georgia" w:eastAsia="Times New Roman" w:hAnsi="Georgia" w:cs="Times New Roman"/>
          <w:i/>
          <w:iCs/>
          <w:sz w:val="20"/>
          <w:szCs w:val="20"/>
          <w:lang w:val="en-US" w:eastAsia="en-GB"/>
        </w:rPr>
        <w:t>nafs</w:t>
      </w:r>
      <w:proofErr w:type="spellEnd"/>
      <w:r w:rsidRPr="002E4888">
        <w:rPr>
          <w:rFonts w:ascii="Georgia" w:eastAsia="Times New Roman" w:hAnsi="Georgia" w:cs="Times New Roman"/>
          <w:i/>
          <w:iCs/>
          <w:sz w:val="20"/>
          <w:szCs w:val="20"/>
          <w:lang w:val="en-US" w:eastAsia="en-GB"/>
        </w:rPr>
        <w:t>, humility, love, and brotherhood play an important role in enhancing students’ spiritual awareness, empathy, and moral sensibility. The example set by lecturers and the supportive religious atmosphere on campus further strengthen the internalization of these values in daily student interactions. Overall, Sufism provides a meaningful foundation for fostering moderate, ethical, and socially responsible student character in today’s rapidly changing era.</w:t>
      </w:r>
    </w:p>
    <w:p w14:paraId="6E6D9489" w14:textId="77777777" w:rsidR="002E4888" w:rsidRPr="00F27532" w:rsidRDefault="002E4888"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1BD34E37" w14:textId="2B9361A8" w:rsidR="00260DAF" w:rsidRPr="00F27532" w:rsidRDefault="00B051E7"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2"/>
          <w:szCs w:val="22"/>
          <w:lang w:val="en-US" w:eastAsia="en-GB"/>
        </w:rPr>
      </w:pPr>
      <w:r w:rsidRPr="00F27532">
        <w:rPr>
          <w:rFonts w:ascii="Georgia" w:eastAsia="Times New Roman" w:hAnsi="Georgia" w:cs="Times New Roman"/>
          <w:b/>
          <w:bCs/>
          <w:i/>
          <w:iCs/>
          <w:sz w:val="22"/>
          <w:szCs w:val="22"/>
          <w:lang w:val="en-US" w:eastAsia="en-GB"/>
        </w:rPr>
        <w:t>Keywords:</w:t>
      </w:r>
      <w:r w:rsidRPr="00F27532">
        <w:rPr>
          <w:rFonts w:ascii="Georgia" w:eastAsia="Times New Roman" w:hAnsi="Georgia" w:cs="Times New Roman"/>
          <w:i/>
          <w:iCs/>
          <w:sz w:val="22"/>
          <w:szCs w:val="22"/>
          <w:lang w:val="en-US" w:eastAsia="en-GB"/>
        </w:rPr>
        <w:t xml:space="preserve"> </w:t>
      </w:r>
      <w:r w:rsidR="002E4888" w:rsidRPr="002E4888">
        <w:rPr>
          <w:rFonts w:ascii="Georgia" w:eastAsia="Times New Roman" w:hAnsi="Georgia" w:cs="Times New Roman"/>
          <w:i/>
          <w:iCs/>
          <w:sz w:val="22"/>
          <w:szCs w:val="22"/>
          <w:lang w:val="en-US" w:eastAsia="en-GB"/>
        </w:rPr>
        <w:t>Sufism, social character, Islamic education, students, religious moderation</w:t>
      </w:r>
    </w:p>
    <w:p w14:paraId="1BB5C5E2" w14:textId="7CFA3A98" w:rsidR="00260DAF" w:rsidRDefault="00260DAF"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6A6D5FA" w14:textId="77777777" w:rsidR="00F27532" w:rsidRDefault="00F27532"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ABA8185" w14:textId="146C5998" w:rsidR="00B051E7" w:rsidRPr="00BC66B3" w:rsidRDefault="00B051E7"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rPr>
      </w:pPr>
      <w:r w:rsidRPr="00BC66B3">
        <w:rPr>
          <w:rStyle w:val="Strong"/>
          <w:rFonts w:ascii="Georgia" w:hAnsi="Georgia"/>
          <w:sz w:val="22"/>
          <w:szCs w:val="22"/>
        </w:rPr>
        <w:t>Abstrak</w:t>
      </w:r>
      <w:r w:rsidRPr="00BC66B3">
        <w:rPr>
          <w:rStyle w:val="Strong"/>
          <w:rFonts w:ascii="Georgia" w:hAnsi="Georgia"/>
        </w:rPr>
        <w:t>:</w:t>
      </w:r>
    </w:p>
    <w:p w14:paraId="2D3BEB94" w14:textId="2FC14252" w:rsidR="00F27532" w:rsidRDefault="002E4888" w:rsidP="00B051E7">
      <w:pPr>
        <w:spacing w:after="0" w:line="240" w:lineRule="auto"/>
        <w:jc w:val="both"/>
        <w:rPr>
          <w:rFonts w:ascii="Georgia" w:eastAsia="Times New Roman" w:hAnsi="Georgia" w:cs="Times New Roman"/>
          <w:sz w:val="20"/>
          <w:szCs w:val="20"/>
          <w:lang w:eastAsia="en-GB"/>
        </w:rPr>
      </w:pPr>
      <w:r w:rsidRPr="002E4888">
        <w:rPr>
          <w:rFonts w:ascii="Georgia" w:eastAsia="Times New Roman" w:hAnsi="Georgia" w:cs="Times New Roman"/>
          <w:sz w:val="20"/>
          <w:szCs w:val="20"/>
          <w:lang w:eastAsia="en-GB"/>
        </w:rPr>
        <w:t>Perkembangan teknologi dan derasnya arus globalisasi telah memberi pengaruh besar pada karakter sosial mahasiswa, termasuk kecenderungan yang semakin individualistis dan materialistis. Penelitian ini menelaah bagaimana tasawuf berperan dalam membentuk karakter sosial mahasiswa di STIT Balikpapan melalui pendekatan kualitatif-deskriptif dengan wawancara, observasi, dan dokumentasi. Temuan penelitian menunjukkan bahwa nilai-nilai sufistik seperti tazkiyah al-nafs, tawadhu’, mahabbah, dan ukhuwwah mendorong tumbuhnya kesadaran spiritual, empati, dan sikap toleran mahasiswa. Keteladanan dosen serta suasana kampus yang religius turut memperkuat proses internalisasi nilai-nilai tersebut dalam kehidupan sehari-hari. Secara keseluruhan, tasawuf menjadi pijakan penting untuk membentuk karakter sosial mahasiswa yang moderat, beretika, dan humanis di tengah dinamika era modern.</w:t>
      </w:r>
    </w:p>
    <w:p w14:paraId="241A10BE" w14:textId="77777777" w:rsidR="002E4888" w:rsidRPr="00260DAF" w:rsidRDefault="002E4888" w:rsidP="00B051E7">
      <w:pPr>
        <w:spacing w:after="0" w:line="240" w:lineRule="auto"/>
        <w:jc w:val="both"/>
        <w:rPr>
          <w:rFonts w:ascii="Georgia" w:eastAsia="Times New Roman" w:hAnsi="Georgia" w:cs="Times New Roman"/>
          <w:sz w:val="20"/>
          <w:szCs w:val="20"/>
          <w:lang w:eastAsia="en-GB"/>
        </w:rPr>
      </w:pPr>
    </w:p>
    <w:p w14:paraId="6E56B28A" w14:textId="1CA2E1E8" w:rsidR="00B051E7" w:rsidRDefault="00B051E7" w:rsidP="00B051E7">
      <w:pPr>
        <w:spacing w:after="0" w:line="240" w:lineRule="auto"/>
        <w:jc w:val="both"/>
        <w:rPr>
          <w:rFonts w:ascii="Cambria" w:eastAsia="Times New Roman" w:hAnsi="Cambria" w:cs="Times New Roman"/>
          <w:sz w:val="22"/>
          <w:szCs w:val="22"/>
          <w:lang w:val="en-ID" w:eastAsia="en-GB"/>
        </w:rPr>
      </w:pPr>
      <w:r w:rsidRPr="00260DAF">
        <w:rPr>
          <w:rFonts w:ascii="Georgia" w:eastAsia="Times New Roman" w:hAnsi="Georgia" w:cs="Times New Roman"/>
          <w:b/>
          <w:bCs/>
          <w:sz w:val="20"/>
          <w:szCs w:val="20"/>
          <w:lang w:val="en-ID" w:eastAsia="en-GB"/>
        </w:rPr>
        <w:t xml:space="preserve">Kata </w:t>
      </w:r>
      <w:proofErr w:type="spellStart"/>
      <w:r w:rsidRPr="00260DAF">
        <w:rPr>
          <w:rFonts w:ascii="Georgia" w:eastAsia="Times New Roman" w:hAnsi="Georgia" w:cs="Times New Roman"/>
          <w:b/>
          <w:bCs/>
          <w:sz w:val="20"/>
          <w:szCs w:val="20"/>
          <w:lang w:val="en-ID" w:eastAsia="en-GB"/>
        </w:rPr>
        <w:t>kunci</w:t>
      </w:r>
      <w:proofErr w:type="spellEnd"/>
      <w:r w:rsidRPr="00260DAF">
        <w:rPr>
          <w:rFonts w:ascii="Georgia" w:eastAsia="Times New Roman" w:hAnsi="Georgia" w:cs="Times New Roman"/>
          <w:b/>
          <w:bCs/>
          <w:sz w:val="20"/>
          <w:szCs w:val="20"/>
          <w:lang w:val="en-ID" w:eastAsia="en-GB"/>
        </w:rPr>
        <w:t>:</w:t>
      </w:r>
      <w:r w:rsidRPr="00260DAF">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Sufisme</w:t>
      </w:r>
      <w:proofErr w:type="spellEnd"/>
      <w:r w:rsidR="002E4888" w:rsidRPr="002E4888">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karakter</w:t>
      </w:r>
      <w:proofErr w:type="spellEnd"/>
      <w:r w:rsidR="002E4888" w:rsidRPr="002E4888">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sosial</w:t>
      </w:r>
      <w:proofErr w:type="spellEnd"/>
      <w:r w:rsidR="002E4888" w:rsidRPr="002E4888">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pendidikan</w:t>
      </w:r>
      <w:proofErr w:type="spellEnd"/>
      <w:r w:rsidR="002E4888" w:rsidRPr="002E4888">
        <w:rPr>
          <w:rFonts w:ascii="Georgia" w:eastAsia="Times New Roman" w:hAnsi="Georgia" w:cs="Times New Roman"/>
          <w:sz w:val="20"/>
          <w:szCs w:val="20"/>
          <w:lang w:val="en-ID" w:eastAsia="en-GB"/>
        </w:rPr>
        <w:t xml:space="preserve"> Islam, </w:t>
      </w:r>
      <w:proofErr w:type="spellStart"/>
      <w:r w:rsidR="002E4888" w:rsidRPr="002E4888">
        <w:rPr>
          <w:rFonts w:ascii="Georgia" w:eastAsia="Times New Roman" w:hAnsi="Georgia" w:cs="Times New Roman"/>
          <w:sz w:val="20"/>
          <w:szCs w:val="20"/>
          <w:lang w:val="en-ID" w:eastAsia="en-GB"/>
        </w:rPr>
        <w:t>siswa</w:t>
      </w:r>
      <w:proofErr w:type="spellEnd"/>
      <w:r w:rsidR="002E4888" w:rsidRPr="002E4888">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moderasi</w:t>
      </w:r>
      <w:proofErr w:type="spellEnd"/>
      <w:r w:rsidR="002E4888" w:rsidRPr="002E4888">
        <w:rPr>
          <w:rFonts w:ascii="Georgia" w:eastAsia="Times New Roman" w:hAnsi="Georgia" w:cs="Times New Roman"/>
          <w:sz w:val="20"/>
          <w:szCs w:val="20"/>
          <w:lang w:val="en-ID" w:eastAsia="en-GB"/>
        </w:rPr>
        <w:t xml:space="preserve"> </w:t>
      </w:r>
      <w:proofErr w:type="spellStart"/>
      <w:r w:rsidR="002E4888" w:rsidRPr="002E4888">
        <w:rPr>
          <w:rFonts w:ascii="Georgia" w:eastAsia="Times New Roman" w:hAnsi="Georgia" w:cs="Times New Roman"/>
          <w:sz w:val="20"/>
          <w:szCs w:val="20"/>
          <w:lang w:val="en-ID" w:eastAsia="en-GB"/>
        </w:rPr>
        <w:t>beragama</w:t>
      </w:r>
      <w:proofErr w:type="spellEnd"/>
    </w:p>
    <w:p w14:paraId="7370543B" w14:textId="375C4442" w:rsidR="00260DAF" w:rsidRDefault="00260DAF" w:rsidP="00B051E7">
      <w:pPr>
        <w:spacing w:after="0" w:line="240" w:lineRule="auto"/>
        <w:jc w:val="both"/>
        <w:rPr>
          <w:rFonts w:ascii="Cambria" w:eastAsia="Times New Roman" w:hAnsi="Cambria" w:cs="Times New Roman"/>
          <w:sz w:val="22"/>
          <w:szCs w:val="22"/>
          <w:lang w:val="en-ID" w:eastAsia="en-GB"/>
        </w:rPr>
      </w:pPr>
    </w:p>
    <w:p w14:paraId="69B3764F" w14:textId="77777777" w:rsidR="00260DAF" w:rsidRDefault="00260DAF"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F27532" w:rsidRDefault="00B051E7" w:rsidP="00FA5CEE">
      <w:pPr>
        <w:spacing w:after="0"/>
        <w:jc w:val="both"/>
        <w:rPr>
          <w:rFonts w:ascii="Garamond" w:eastAsia="Garamond" w:hAnsi="Garamond" w:cs="Times New Roman"/>
          <w:color w:val="000000"/>
          <w:sz w:val="26"/>
          <w:szCs w:val="26"/>
        </w:rPr>
      </w:pPr>
      <w:r w:rsidRPr="00F27532">
        <w:rPr>
          <w:rFonts w:ascii="Garamond" w:eastAsia="Garamond" w:hAnsi="Garamond" w:cs="Times New Roman"/>
          <w:b/>
          <w:color w:val="000000"/>
          <w:sz w:val="26"/>
          <w:szCs w:val="26"/>
        </w:rPr>
        <w:t xml:space="preserve">PENDAHULUAN </w:t>
      </w:r>
    </w:p>
    <w:p w14:paraId="57BD609F" w14:textId="26320B91"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Perkembangan</w:t>
      </w:r>
      <w:proofErr w:type="spellEnd"/>
      <w:r w:rsidRPr="002E4888">
        <w:rPr>
          <w:rFonts w:ascii="Garamond" w:hAnsi="Garamond" w:cs="Times New Roman"/>
          <w:sz w:val="26"/>
          <w:szCs w:val="26"/>
          <w:lang w:val="en-US"/>
        </w:rPr>
        <w:t xml:space="preserve"> zaman modern yang </w:t>
      </w:r>
      <w:proofErr w:type="spellStart"/>
      <w:r w:rsidRPr="002E4888">
        <w:rPr>
          <w:rFonts w:ascii="Garamond" w:hAnsi="Garamond" w:cs="Times New Roman"/>
          <w:sz w:val="26"/>
          <w:szCs w:val="26"/>
          <w:lang w:val="en-US"/>
        </w:rPr>
        <w:t>ditandai</w:t>
      </w:r>
      <w:proofErr w:type="spellEnd"/>
      <w:r w:rsidRPr="002E4888">
        <w:rPr>
          <w:rFonts w:ascii="Garamond" w:hAnsi="Garamond" w:cs="Times New Roman"/>
          <w:sz w:val="26"/>
          <w:szCs w:val="26"/>
          <w:lang w:val="en-US"/>
        </w:rPr>
        <w:t xml:space="preserve"> oleh </w:t>
      </w:r>
      <w:proofErr w:type="spellStart"/>
      <w:r w:rsidRPr="002E4888">
        <w:rPr>
          <w:rFonts w:ascii="Garamond" w:hAnsi="Garamond" w:cs="Times New Roman"/>
          <w:sz w:val="26"/>
          <w:szCs w:val="26"/>
          <w:lang w:val="en-US"/>
        </w:rPr>
        <w:t>kemajuan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teknologi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budaya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perubahan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besar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manusia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Globalisasi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digitalisasi</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bergerak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cepat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mendorong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lahirnya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gaya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hidup</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semakin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individualistis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berorientasi</w:t>
      </w:r>
      <w:proofErr w:type="spellEnd"/>
      <w:r w:rsidRPr="002E4888">
        <w:rPr>
          <w:rFonts w:ascii="Garamond" w:hAnsi="Garamond" w:cs="Times New Roman"/>
          <w:sz w:val="26"/>
          <w:szCs w:val="26"/>
          <w:lang w:val="en-US"/>
        </w:rPr>
        <w:t xml:space="preserve"> pada </w:t>
      </w:r>
      <w:proofErr w:type="spellStart"/>
      <w:r w:rsidRPr="002E4888">
        <w:rPr>
          <w:rFonts w:ascii="Garamond" w:hAnsi="Garamond" w:cs="Times New Roman"/>
          <w:sz w:val="26"/>
          <w:szCs w:val="26"/>
          <w:lang w:val="en-US"/>
        </w:rPr>
        <w:t>materi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Dampak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perubahan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terasa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umum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memengaruhi</w:t>
      </w:r>
      <w:proofErr w:type="spellEnd"/>
      <w:r w:rsidRPr="002E4888">
        <w:rPr>
          <w:rFonts w:ascii="Garamond" w:hAnsi="Garamond" w:cs="Times New Roman"/>
          <w:sz w:val="26"/>
          <w:szCs w:val="26"/>
          <w:lang w:val="en-US"/>
        </w:rPr>
        <w:t xml:space="preserve"> dunia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lastRenderedPageBreak/>
        <w:t>terutama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 xml:space="preserve">. Di </w:t>
      </w:r>
      <w:proofErr w:type="spellStart"/>
      <w:r w:rsidRPr="002E4888">
        <w:rPr>
          <w:rFonts w:ascii="Garamond" w:hAnsi="Garamond" w:cs="Times New Roman"/>
          <w:sz w:val="26"/>
          <w:szCs w:val="26"/>
          <w:lang w:val="en-US"/>
        </w:rPr>
        <w:t>tengah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derasnya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budaya</w:t>
      </w:r>
      <w:proofErr w:type="spellEnd"/>
      <w:r w:rsidRPr="002E4888">
        <w:rPr>
          <w:rFonts w:ascii="Garamond" w:hAnsi="Garamond" w:cs="Times New Roman"/>
          <w:sz w:val="26"/>
          <w:szCs w:val="26"/>
          <w:lang w:val="en-US"/>
        </w:rPr>
        <w:t xml:space="preserve"> modern yang </w:t>
      </w:r>
      <w:proofErr w:type="spellStart"/>
      <w:r w:rsidRPr="002E4888">
        <w:rPr>
          <w:rFonts w:ascii="Garamond" w:hAnsi="Garamond" w:cs="Times New Roman"/>
          <w:sz w:val="26"/>
          <w:szCs w:val="26"/>
          <w:lang w:val="en-US"/>
        </w:rPr>
        <w:t>kerap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bertentangan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lembaga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menghadapi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tantangan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moral, </w:t>
      </w:r>
      <w:proofErr w:type="spellStart"/>
      <w:r w:rsidRPr="002E4888">
        <w:rPr>
          <w:rFonts w:ascii="Garamond" w:hAnsi="Garamond" w:cs="Times New Roman"/>
          <w:sz w:val="26"/>
          <w:szCs w:val="26"/>
          <w:lang w:val="en-US"/>
        </w:rPr>
        <w:t>etika</w:t>
      </w:r>
      <w:proofErr w:type="spellEnd"/>
      <w:r w:rsidRPr="002E4888">
        <w:rPr>
          <w:rFonts w:ascii="Garamond" w:hAnsi="Garamond" w:cs="Times New Roman"/>
          <w:sz w:val="26"/>
          <w:szCs w:val="26"/>
          <w:lang w:val="en-US"/>
        </w:rPr>
        <w:t xml:space="preserve">, dan spiritual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
      </w:r>
    </w:p>
    <w:p w14:paraId="1730A9A0"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menawarkan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sumber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spiritual yang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solusi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kemerosotan</w:t>
      </w:r>
      <w:proofErr w:type="spellEnd"/>
      <w:r w:rsidRPr="002E4888">
        <w:rPr>
          <w:rFonts w:ascii="Garamond" w:hAnsi="Garamond" w:cs="Times New Roman"/>
          <w:sz w:val="26"/>
          <w:szCs w:val="26"/>
          <w:lang w:val="en-US"/>
        </w:rPr>
        <w:t xml:space="preserve"> moral. Salah </w:t>
      </w:r>
      <w:proofErr w:type="spellStart"/>
      <w:r w:rsidRPr="002E4888">
        <w:rPr>
          <w:rFonts w:ascii="Garamond" w:hAnsi="Garamond" w:cs="Times New Roman"/>
          <w:sz w:val="26"/>
          <w:szCs w:val="26"/>
          <w:lang w:val="en-US"/>
        </w:rPr>
        <w:t>satu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disiplin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keilmuan</w:t>
      </w:r>
      <w:proofErr w:type="spellEnd"/>
      <w:r w:rsidRPr="002E4888">
        <w:rPr>
          <w:rFonts w:ascii="Garamond" w:hAnsi="Garamond" w:cs="Times New Roman"/>
          <w:sz w:val="26"/>
          <w:szCs w:val="26"/>
          <w:lang w:val="en-US"/>
        </w:rPr>
        <w:t xml:space="preserve"> Islam yang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kontribusi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besar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pembinaan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adalah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merupakan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esensi</w:t>
      </w:r>
      <w:proofErr w:type="spellEnd"/>
      <w:r w:rsidRPr="002E4888">
        <w:rPr>
          <w:rFonts w:ascii="Garamond" w:hAnsi="Garamond" w:cs="Times New Roman"/>
          <w:sz w:val="26"/>
          <w:szCs w:val="26"/>
          <w:lang w:val="en-US"/>
        </w:rPr>
        <w:t xml:space="preserve"> spiritual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Islam yang </w:t>
      </w:r>
      <w:proofErr w:type="spellStart"/>
      <w:r w:rsidRPr="002E4888">
        <w:rPr>
          <w:rFonts w:ascii="Garamond" w:hAnsi="Garamond" w:cs="Times New Roman"/>
          <w:sz w:val="26"/>
          <w:szCs w:val="26"/>
          <w:lang w:val="en-US"/>
        </w:rPr>
        <w:t>menuntun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individu</w:t>
      </w:r>
      <w:proofErr w:type="spellEnd"/>
      <w:r w:rsidRPr="002E4888">
        <w:rPr>
          <w:rFonts w:ascii="Garamond" w:hAnsi="Garamond" w:cs="Times New Roman"/>
          <w:sz w:val="26"/>
          <w:szCs w:val="26"/>
          <w:lang w:val="en-US"/>
        </w:rPr>
        <w:t xml:space="preserve"> agar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kesadaran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batin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keseimbangan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antara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orientasi</w:t>
      </w:r>
      <w:proofErr w:type="spellEnd"/>
      <w:r w:rsidRPr="002E4888">
        <w:rPr>
          <w:rFonts w:ascii="Garamond" w:hAnsi="Garamond" w:cs="Times New Roman"/>
          <w:sz w:val="26"/>
          <w:szCs w:val="26"/>
          <w:lang w:val="en-US"/>
        </w:rPr>
        <w:t xml:space="preserve"> dunia dan </w:t>
      </w:r>
      <w:proofErr w:type="spellStart"/>
      <w:r w:rsidRPr="002E4888">
        <w:rPr>
          <w:rFonts w:ascii="Garamond" w:hAnsi="Garamond" w:cs="Times New Roman"/>
          <w:sz w:val="26"/>
          <w:szCs w:val="26"/>
          <w:lang w:val="en-US"/>
        </w:rPr>
        <w:t>akhirat</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perspektif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proses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bermula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tazkiyah</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nafs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penyucian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jiwa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mujahadah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kesungguhan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memperbaiki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pembiasaan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fondasi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utama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perkembangan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kepribadian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manusia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
      </w:r>
    </w:p>
    <w:p w14:paraId="40E82E40"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lingkungan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modern, </w:t>
      </w:r>
      <w:proofErr w:type="spellStart"/>
      <w:r w:rsidRPr="002E4888">
        <w:rPr>
          <w:rFonts w:ascii="Garamond" w:hAnsi="Garamond" w:cs="Times New Roman"/>
          <w:sz w:val="26"/>
          <w:szCs w:val="26"/>
          <w:lang w:val="en-US"/>
        </w:rPr>
        <w:t>pembinaan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kebutuhan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mendesak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mencakup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kemampuan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berempati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peduli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jujur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bekerja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bertanggung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jawab</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6"/>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Sayangnya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fenomena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negatif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perundungan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intoleransi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gaya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hidup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hedonis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melemahnya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empati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muncul</w:t>
      </w:r>
      <w:proofErr w:type="spellEnd"/>
      <w:r w:rsidRPr="002E4888">
        <w:rPr>
          <w:rFonts w:ascii="Garamond" w:hAnsi="Garamond" w:cs="Times New Roman"/>
          <w:sz w:val="26"/>
          <w:szCs w:val="26"/>
          <w:lang w:val="en-US"/>
        </w:rPr>
        <w:t xml:space="preserve"> di dunia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7"/>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menunjukkan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belum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sepenuhnya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terinternalisasi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sistem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formal.</w:t>
      </w:r>
    </w:p>
    <w:p w14:paraId="26431FE6"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Pada </w:t>
      </w:r>
      <w:proofErr w:type="spellStart"/>
      <w:r w:rsidRPr="002E4888">
        <w:rPr>
          <w:rFonts w:ascii="Garamond" w:hAnsi="Garamond" w:cs="Times New Roman"/>
          <w:sz w:val="26"/>
          <w:szCs w:val="26"/>
          <w:lang w:val="en-US"/>
        </w:rPr>
        <w:t>titik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hadir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spiritual yang </w:t>
      </w:r>
      <w:proofErr w:type="spellStart"/>
      <w:r w:rsidRPr="002E4888">
        <w:rPr>
          <w:rFonts w:ascii="Garamond" w:hAnsi="Garamond" w:cs="Times New Roman"/>
          <w:sz w:val="26"/>
          <w:szCs w:val="26"/>
          <w:lang w:val="en-US"/>
        </w:rPr>
        <w:t>menyeimbangkan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tindakan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aspek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ibadah</w:t>
      </w:r>
      <w:proofErr w:type="spellEnd"/>
      <w:r w:rsidRPr="002E4888">
        <w:rPr>
          <w:rFonts w:ascii="Garamond" w:hAnsi="Garamond" w:cs="Times New Roman"/>
          <w:sz w:val="26"/>
          <w:szCs w:val="26"/>
          <w:lang w:val="en-US"/>
        </w:rPr>
        <w:t xml:space="preserve"> ritual,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mengajarkan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pentingnya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kepekaan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kerendahhatian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penghargaan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persaudaraan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kemanusiaan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8"/>
      </w:r>
      <w:r w:rsidRPr="002E4888">
        <w:rPr>
          <w:rFonts w:ascii="Garamond" w:hAnsi="Garamond" w:cs="Times New Roman"/>
          <w:sz w:val="26"/>
          <w:szCs w:val="26"/>
          <w:lang w:val="en-US"/>
        </w:rPr>
        <w:t xml:space="preserve"> Nilai </w:t>
      </w:r>
      <w:proofErr w:type="spellStart"/>
      <w:r w:rsidRPr="002E4888">
        <w:rPr>
          <w:rFonts w:ascii="Garamond" w:hAnsi="Garamond" w:cs="Times New Roman"/>
          <w:sz w:val="26"/>
          <w:szCs w:val="26"/>
          <w:lang w:val="en-US"/>
        </w:rPr>
        <w:t>mahabbah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cinta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ukhuwwah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persaudaraan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tawadhu</w:t>
      </w:r>
      <w:proofErr w:type="spellEnd"/>
      <w:r w:rsidRPr="002E4888">
        <w:rPr>
          <w:rFonts w:ascii="Garamond" w:hAnsi="Garamond" w:cs="Times New Roman"/>
          <w:sz w:val="26"/>
          <w:szCs w:val="26"/>
          <w:lang w:val="en-US"/>
        </w:rPr>
        <w:t>’ (</w:t>
      </w:r>
      <w:proofErr w:type="spellStart"/>
      <w:r w:rsidRPr="002E4888">
        <w:rPr>
          <w:rFonts w:ascii="Garamond" w:hAnsi="Garamond" w:cs="Times New Roman"/>
          <w:sz w:val="26"/>
          <w:szCs w:val="26"/>
          <w:lang w:val="en-US"/>
        </w:rPr>
        <w:t>rendah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ihsan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berbuat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prinsip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dasar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sangat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relevan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9"/>
      </w:r>
    </w:p>
    <w:p w14:paraId="782B7B71"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Para ulama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Al-Ghazali </w:t>
      </w:r>
      <w:proofErr w:type="spellStart"/>
      <w:r w:rsidRPr="002E4888">
        <w:rPr>
          <w:rFonts w:ascii="Garamond" w:hAnsi="Garamond" w:cs="Times New Roman"/>
          <w:sz w:val="26"/>
          <w:szCs w:val="26"/>
          <w:lang w:val="en-US"/>
        </w:rPr>
        <w:t>menegaskan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tujuan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menguasai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kemampuan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mengendalikan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0"/>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Ihya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Ulum</w:t>
      </w:r>
      <w:proofErr w:type="spellEnd"/>
      <w:r w:rsidRPr="002E4888">
        <w:rPr>
          <w:rFonts w:ascii="Garamond" w:hAnsi="Garamond" w:cs="Times New Roman"/>
          <w:sz w:val="26"/>
          <w:szCs w:val="26"/>
          <w:lang w:val="en-US"/>
        </w:rPr>
        <w:t xml:space="preserve"> al-Din, </w:t>
      </w:r>
      <w:proofErr w:type="spellStart"/>
      <w:r w:rsidRPr="002E4888">
        <w:rPr>
          <w:rFonts w:ascii="Garamond" w:hAnsi="Garamond" w:cs="Times New Roman"/>
          <w:sz w:val="26"/>
          <w:szCs w:val="26"/>
          <w:lang w:val="en-US"/>
        </w:rPr>
        <w:t>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menuntun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mencapai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kesempurnaan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kedekatan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kepada</w:t>
      </w:r>
      <w:proofErr w:type="spellEnd"/>
      <w:r w:rsidRPr="002E4888">
        <w:rPr>
          <w:rFonts w:ascii="Garamond" w:hAnsi="Garamond" w:cs="Times New Roman"/>
          <w:sz w:val="26"/>
          <w:szCs w:val="26"/>
          <w:lang w:val="en-US"/>
        </w:rPr>
        <w:t xml:space="preserve"> Allah, </w:t>
      </w:r>
      <w:proofErr w:type="spellStart"/>
      <w:r w:rsidRPr="002E4888">
        <w:rPr>
          <w:rFonts w:ascii="Garamond" w:hAnsi="Garamond" w:cs="Times New Roman"/>
          <w:sz w:val="26"/>
          <w:szCs w:val="26"/>
          <w:lang w:val="en-US"/>
        </w:rPr>
        <w:t>sehingga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tercermin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lastRenderedPageBreak/>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sosialnya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1"/>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Pandangan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sejalan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prinsip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modern yang </w:t>
      </w:r>
      <w:proofErr w:type="spellStart"/>
      <w:r w:rsidRPr="002E4888">
        <w:rPr>
          <w:rFonts w:ascii="Garamond" w:hAnsi="Garamond" w:cs="Times New Roman"/>
          <w:sz w:val="26"/>
          <w:szCs w:val="26"/>
          <w:lang w:val="en-US"/>
        </w:rPr>
        <w:t>mendorong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pengembangan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kecerdasan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keterampilan</w:t>
      </w:r>
      <w:proofErr w:type="spellEnd"/>
      <w:r w:rsidRPr="002E4888">
        <w:rPr>
          <w:rFonts w:ascii="Garamond" w:hAnsi="Garamond" w:cs="Times New Roman"/>
          <w:sz w:val="26"/>
          <w:szCs w:val="26"/>
          <w:lang w:val="en-US"/>
        </w:rPr>
        <w:t xml:space="preserve"> interpersonal.</w:t>
      </w:r>
      <w:r w:rsidRPr="002E4888">
        <w:rPr>
          <w:rStyle w:val="FootnoteReference"/>
          <w:rFonts w:ascii="Garamond" w:hAnsi="Garamond" w:cs="Times New Roman"/>
          <w:sz w:val="26"/>
          <w:szCs w:val="26"/>
          <w:lang w:val="en-US"/>
        </w:rPr>
        <w:footnoteReference w:id="12"/>
      </w:r>
    </w:p>
    <w:p w14:paraId="372B836E"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Pandangan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diperkuat</w:t>
      </w:r>
      <w:proofErr w:type="spellEnd"/>
      <w:r w:rsidRPr="002E4888">
        <w:rPr>
          <w:rFonts w:ascii="Garamond" w:hAnsi="Garamond" w:cs="Times New Roman"/>
          <w:sz w:val="26"/>
          <w:szCs w:val="26"/>
          <w:lang w:val="en-US"/>
        </w:rPr>
        <w:t xml:space="preserve"> oleh Syed Muhammad </w:t>
      </w:r>
      <w:proofErr w:type="spellStart"/>
      <w:r w:rsidRPr="002E4888">
        <w:rPr>
          <w:rFonts w:ascii="Garamond" w:hAnsi="Garamond" w:cs="Times New Roman"/>
          <w:sz w:val="26"/>
          <w:szCs w:val="26"/>
          <w:lang w:val="en-US"/>
        </w:rPr>
        <w:t>Naquib</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Attas</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menyatakan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tujuan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adalah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manusia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beradab</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adabi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yakni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pribadi</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menempatkan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segala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sesuatu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proporsional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hubungan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Tuhan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manusia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maupun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alam</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3"/>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Konsep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adab</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dikembangkan</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Attas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keterkaitan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kesadaran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kebeningan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pengabdian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ketaatan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kepada</w:t>
      </w:r>
      <w:proofErr w:type="spellEnd"/>
      <w:r w:rsidRPr="002E4888">
        <w:rPr>
          <w:rFonts w:ascii="Garamond" w:hAnsi="Garamond" w:cs="Times New Roman"/>
          <w:sz w:val="26"/>
          <w:szCs w:val="26"/>
          <w:lang w:val="en-US"/>
        </w:rPr>
        <w:t xml:space="preserve"> Allah.</w:t>
      </w:r>
      <w:r w:rsidRPr="002E4888">
        <w:rPr>
          <w:rStyle w:val="FootnoteReference"/>
          <w:rFonts w:ascii="Garamond" w:hAnsi="Garamond" w:cs="Times New Roman"/>
          <w:sz w:val="26"/>
          <w:szCs w:val="26"/>
          <w:lang w:val="en-US"/>
        </w:rPr>
        <w:footnoteReference w:id="14"/>
      </w:r>
    </w:p>
    <w:p w14:paraId="1B5DE3A9"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konteks</w:t>
      </w:r>
      <w:proofErr w:type="spellEnd"/>
      <w:r w:rsidRPr="002E4888">
        <w:rPr>
          <w:rFonts w:ascii="Garamond" w:hAnsi="Garamond" w:cs="Times New Roman"/>
          <w:sz w:val="26"/>
          <w:szCs w:val="26"/>
          <w:lang w:val="en-US"/>
        </w:rPr>
        <w:t xml:space="preserve"> Indonesia, </w:t>
      </w:r>
      <w:proofErr w:type="spellStart"/>
      <w:r w:rsidRPr="002E4888">
        <w:rPr>
          <w:rFonts w:ascii="Garamond" w:hAnsi="Garamond" w:cs="Times New Roman"/>
          <w:sz w:val="26"/>
          <w:szCs w:val="26"/>
          <w:lang w:val="en-US"/>
        </w:rPr>
        <w:t>pemikir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muslim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Harun </w:t>
      </w:r>
      <w:proofErr w:type="spellStart"/>
      <w:r w:rsidRPr="002E4888">
        <w:rPr>
          <w:rFonts w:ascii="Garamond" w:hAnsi="Garamond" w:cs="Times New Roman"/>
          <w:sz w:val="26"/>
          <w:szCs w:val="26"/>
          <w:lang w:val="en-US"/>
        </w:rPr>
        <w:t>Nasution</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Azyumardi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Azra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turut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menyoroti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relevansi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di era modern. Harun </w:t>
      </w:r>
      <w:proofErr w:type="spellStart"/>
      <w:r w:rsidRPr="002E4888">
        <w:rPr>
          <w:rFonts w:ascii="Garamond" w:hAnsi="Garamond" w:cs="Times New Roman"/>
          <w:sz w:val="26"/>
          <w:szCs w:val="26"/>
          <w:lang w:val="en-US"/>
        </w:rPr>
        <w:t>Nasution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memandang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sarana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menumbuhkan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moderat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sabar</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toleran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5"/>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Sementara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Azra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menjelaskan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jejak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historis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 xml:space="preserve"> Islam Nusantara yang </w:t>
      </w:r>
      <w:proofErr w:type="spellStart"/>
      <w:r w:rsidRPr="002E4888">
        <w:rPr>
          <w:rFonts w:ascii="Garamond" w:hAnsi="Garamond" w:cs="Times New Roman"/>
          <w:sz w:val="26"/>
          <w:szCs w:val="26"/>
          <w:lang w:val="en-US"/>
        </w:rPr>
        <w:t>inklusif</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berorientasi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6"/>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Sejak</w:t>
      </w:r>
      <w:proofErr w:type="spellEnd"/>
      <w:r w:rsidRPr="002E4888">
        <w:rPr>
          <w:rFonts w:ascii="Garamond" w:hAnsi="Garamond" w:cs="Times New Roman"/>
          <w:sz w:val="26"/>
          <w:szCs w:val="26"/>
          <w:lang w:val="en-US"/>
        </w:rPr>
        <w:t xml:space="preserve"> masa </w:t>
      </w:r>
      <w:proofErr w:type="spellStart"/>
      <w:r w:rsidRPr="002E4888">
        <w:rPr>
          <w:rFonts w:ascii="Garamond" w:hAnsi="Garamond" w:cs="Times New Roman"/>
          <w:sz w:val="26"/>
          <w:szCs w:val="26"/>
          <w:lang w:val="en-US"/>
        </w:rPr>
        <w:t>Walisongo</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telah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tertanam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muslim</w:t>
      </w:r>
      <w:proofErr w:type="spellEnd"/>
      <w:r w:rsidRPr="002E4888">
        <w:rPr>
          <w:rFonts w:ascii="Garamond" w:hAnsi="Garamond" w:cs="Times New Roman"/>
          <w:sz w:val="26"/>
          <w:szCs w:val="26"/>
          <w:lang w:val="en-US"/>
        </w:rPr>
        <w:t xml:space="preserve"> Indonesia dan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tradisi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keagamaan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harmonis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humanis</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7"/>
      </w:r>
    </w:p>
    <w:p w14:paraId="7BF395EB"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Karena </w:t>
      </w:r>
      <w:proofErr w:type="spellStart"/>
      <w:r w:rsidRPr="002E4888">
        <w:rPr>
          <w:rFonts w:ascii="Garamond" w:hAnsi="Garamond" w:cs="Times New Roman"/>
          <w:sz w:val="26"/>
          <w:szCs w:val="26"/>
          <w:lang w:val="en-US"/>
        </w:rPr>
        <w:t>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penelitian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mengenai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 xml:space="preserve"> di era modern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sangat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penting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Penelitian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bertujuan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menegaskan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kontribusi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proses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mengeksplorasi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penerapannya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praktik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Islam masa </w:t>
      </w:r>
      <w:proofErr w:type="spellStart"/>
      <w:r w:rsidRPr="002E4888">
        <w:rPr>
          <w:rFonts w:ascii="Garamond" w:hAnsi="Garamond" w:cs="Times New Roman"/>
          <w:sz w:val="26"/>
          <w:szCs w:val="26"/>
          <w:lang w:val="en-US"/>
        </w:rPr>
        <w:t>kini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menanamkan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diharapkan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mengembangkan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selaras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antara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kecerdasan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intelektual</w:t>
      </w:r>
      <w:proofErr w:type="spellEnd"/>
      <w:r w:rsidRPr="002E4888">
        <w:rPr>
          <w:rFonts w:ascii="Garamond" w:hAnsi="Garamond" w:cs="Times New Roman"/>
          <w:sz w:val="26"/>
          <w:szCs w:val="26"/>
          <w:lang w:val="en-US"/>
        </w:rPr>
        <w:t xml:space="preserve">, spiritual, dan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sehingga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tumbuh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pribadi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berkontribusi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8"/>
      </w:r>
    </w:p>
    <w:p w14:paraId="3FCA2C3F" w14:textId="4ACB5C2B" w:rsidR="00F27532" w:rsidRPr="00F27532" w:rsidRDefault="00B051E7"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F27532">
        <w:rPr>
          <w:rFonts w:ascii="Garamond" w:eastAsia="Garamond" w:hAnsi="Garamond" w:cs="Times New Roman"/>
          <w:b/>
          <w:bCs/>
          <w:color w:val="000000"/>
          <w:sz w:val="26"/>
          <w:szCs w:val="26"/>
          <w:lang w:val="en-US"/>
        </w:rPr>
        <w:t>METODE PENELITIAN</w:t>
      </w:r>
    </w:p>
    <w:p w14:paraId="1CAFEDB1" w14:textId="7792D0C1"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Penelitian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menggunakan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kualitatif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jenis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penelitian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deskriptif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kualitatif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dipilih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karena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menggali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fenomena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pemahaman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makna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perspektif</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pengalaman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lastRenderedPageBreak/>
        <w:t>mahasiswi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terkait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19"/>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memungkinkan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peneliti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menangkap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konteks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natural dan </w:t>
      </w:r>
      <w:proofErr w:type="spellStart"/>
      <w:r w:rsidRPr="002E4888">
        <w:rPr>
          <w:rFonts w:ascii="Garamond" w:hAnsi="Garamond" w:cs="Times New Roman"/>
          <w:sz w:val="26"/>
          <w:szCs w:val="26"/>
          <w:lang w:val="en-US"/>
        </w:rPr>
        <w:t>holistik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sesuai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realitas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lapangan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0"/>
      </w:r>
    </w:p>
    <w:p w14:paraId="243E7013" w14:textId="77777777" w:rsidR="002E4888" w:rsidRPr="002E4888" w:rsidRDefault="002E4888" w:rsidP="002E4888">
      <w:pPr>
        <w:pStyle w:val="ListParagraph"/>
        <w:numPr>
          <w:ilvl w:val="0"/>
          <w:numId w:val="12"/>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Desain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Penelitian</w:t>
      </w:r>
      <w:proofErr w:type="spellEnd"/>
    </w:p>
    <w:p w14:paraId="0A5E5B67" w14:textId="77777777" w:rsidR="002E4888" w:rsidRPr="002E4888" w:rsidRDefault="002E4888" w:rsidP="002E4888">
      <w:pPr>
        <w:pStyle w:val="ListParagraph"/>
        <w:ind w:left="360" w:firstLine="360"/>
        <w:jc w:val="both"/>
        <w:rPr>
          <w:rFonts w:ascii="Garamond" w:hAnsi="Garamond" w:cs="Times New Roman"/>
          <w:sz w:val="26"/>
          <w:szCs w:val="26"/>
        </w:rPr>
      </w:pPr>
      <w:r w:rsidRPr="002E4888">
        <w:rPr>
          <w:rFonts w:ascii="Garamond" w:hAnsi="Garamond" w:cs="Times New Roman"/>
          <w:sz w:val="26"/>
          <w:szCs w:val="26"/>
        </w:rPr>
        <w:t>Penelitian ini menggunakan desain kualitatif deskriptif yang berfokus pada upaya memahami secara mendalam bagaimana nilai-nilai tasawuf berkontribusi terhadap pembentukan karakter sosial mahasiswa. Pendekatan ini dipilih karena memungkinkan peneliti menangkap makna, pengalaman, serta proses internalisasi nilai-nilai sufistik sebagaimana adanya di lapangan.</w:t>
      </w:r>
    </w:p>
    <w:p w14:paraId="53A3D0C5" w14:textId="5D39711B" w:rsidR="002E4888" w:rsidRPr="002E4888" w:rsidRDefault="002E4888" w:rsidP="002E4888">
      <w:pPr>
        <w:pStyle w:val="ListParagraph"/>
        <w:ind w:left="360"/>
        <w:jc w:val="both"/>
        <w:rPr>
          <w:rFonts w:ascii="Garamond" w:hAnsi="Garamond" w:cs="Times New Roman"/>
          <w:sz w:val="26"/>
          <w:szCs w:val="26"/>
        </w:rPr>
      </w:pPr>
      <w:r w:rsidRPr="002E4888">
        <w:rPr>
          <w:rFonts w:ascii="Garamond" w:hAnsi="Garamond" w:cs="Times New Roman"/>
          <w:sz w:val="26"/>
          <w:szCs w:val="26"/>
        </w:rPr>
        <w:t>Secara umum, penelitian kualitatif deskriptif ini diarahkan untuk:</w:t>
      </w:r>
    </w:p>
    <w:p w14:paraId="0E4AEBA8" w14:textId="6A6EEC43" w:rsidR="002E4888" w:rsidRPr="002E4888" w:rsidRDefault="002E4888" w:rsidP="002E4888">
      <w:pPr>
        <w:pStyle w:val="ListParagraph"/>
        <w:numPr>
          <w:ilvl w:val="0"/>
          <w:numId w:val="14"/>
        </w:numPr>
        <w:jc w:val="both"/>
        <w:rPr>
          <w:rFonts w:ascii="Garamond" w:hAnsi="Garamond" w:cs="Times New Roman"/>
          <w:sz w:val="26"/>
          <w:szCs w:val="26"/>
        </w:rPr>
      </w:pPr>
      <w:r w:rsidRPr="002E4888">
        <w:rPr>
          <w:rFonts w:ascii="Garamond" w:hAnsi="Garamond" w:cs="Times New Roman"/>
          <w:sz w:val="26"/>
          <w:szCs w:val="26"/>
        </w:rPr>
        <w:t>Menggali pemahaman mendalam dari mahasiswa dan dosen mengenai konsep tasawuf serta pengaruhnya terhadap perilaku sosial mereka.</w:t>
      </w:r>
    </w:p>
    <w:p w14:paraId="76097DA9" w14:textId="14016620" w:rsidR="002E4888" w:rsidRPr="002E4888" w:rsidRDefault="002E4888" w:rsidP="002E4888">
      <w:pPr>
        <w:pStyle w:val="ListParagraph"/>
        <w:numPr>
          <w:ilvl w:val="0"/>
          <w:numId w:val="14"/>
        </w:numPr>
        <w:jc w:val="both"/>
        <w:rPr>
          <w:rFonts w:ascii="Garamond" w:hAnsi="Garamond" w:cs="Times New Roman"/>
          <w:sz w:val="26"/>
          <w:szCs w:val="26"/>
        </w:rPr>
      </w:pPr>
      <w:r w:rsidRPr="002E4888">
        <w:rPr>
          <w:rFonts w:ascii="Garamond" w:hAnsi="Garamond" w:cs="Times New Roman"/>
          <w:sz w:val="26"/>
          <w:szCs w:val="26"/>
        </w:rPr>
        <w:t>Melihat fenomena secara kontekstual dalam ruang akademik STIT Balikpapan melalui observasi langsung dan interaksi dengan para partisipan.</w:t>
      </w:r>
    </w:p>
    <w:p w14:paraId="193815AD" w14:textId="31B7F23F" w:rsidR="002E4888" w:rsidRPr="002E4888" w:rsidRDefault="002E4888" w:rsidP="002E4888">
      <w:pPr>
        <w:pStyle w:val="ListParagraph"/>
        <w:numPr>
          <w:ilvl w:val="0"/>
          <w:numId w:val="14"/>
        </w:numPr>
        <w:jc w:val="both"/>
        <w:rPr>
          <w:rFonts w:ascii="Garamond" w:hAnsi="Garamond" w:cs="Times New Roman"/>
          <w:sz w:val="26"/>
          <w:szCs w:val="26"/>
        </w:rPr>
      </w:pPr>
      <w:r w:rsidRPr="002E4888">
        <w:rPr>
          <w:rFonts w:ascii="Garamond" w:hAnsi="Garamond" w:cs="Times New Roman"/>
          <w:sz w:val="26"/>
          <w:szCs w:val="26"/>
        </w:rPr>
        <w:t>Menyajikan deskripsi naturalistik, yaitu memaparkan temuan penelitian tanpa manipulasi sehingga mencerminkan kondisi sosial dan spiritual yang benar-benar terjadi di lingkungan kampus.</w:t>
      </w:r>
    </w:p>
    <w:p w14:paraId="17A45EA0" w14:textId="77777777" w:rsidR="002E4888" w:rsidRPr="002E4888" w:rsidRDefault="002E4888" w:rsidP="002E4888">
      <w:pPr>
        <w:pStyle w:val="ListParagraph"/>
        <w:ind w:left="360" w:firstLine="360"/>
        <w:jc w:val="both"/>
        <w:rPr>
          <w:rFonts w:ascii="Garamond" w:hAnsi="Garamond" w:cs="Times New Roman"/>
          <w:sz w:val="26"/>
          <w:szCs w:val="26"/>
        </w:rPr>
      </w:pPr>
      <w:r w:rsidRPr="002E4888">
        <w:rPr>
          <w:rFonts w:ascii="Garamond" w:hAnsi="Garamond" w:cs="Times New Roman"/>
          <w:sz w:val="26"/>
          <w:szCs w:val="26"/>
        </w:rPr>
        <w:t>Dalam proses penelitian, peneliti berperan sebagai instrumen utama yang terlibat langsung dalam pengamatan, wawancara, dan interpretasi data. Keterlibatan ini memungkinkan peneliti memperoleh gambaran menyeluruh mengenai bagaimana nilai tasawuf diintegrasikan ke dalam dinamika pembelajaran dan interaksi sosial mahasiswa.</w:t>
      </w:r>
    </w:p>
    <w:p w14:paraId="737ED94A" w14:textId="7B5FE59D" w:rsidR="002E4888" w:rsidRPr="002E4888" w:rsidRDefault="002E4888" w:rsidP="002E4888">
      <w:pPr>
        <w:pStyle w:val="ListParagraph"/>
        <w:ind w:left="360" w:firstLine="360"/>
        <w:jc w:val="both"/>
        <w:rPr>
          <w:rFonts w:ascii="Garamond" w:hAnsi="Garamond" w:cs="Times New Roman"/>
          <w:sz w:val="26"/>
          <w:szCs w:val="26"/>
        </w:rPr>
      </w:pPr>
      <w:r w:rsidRPr="002E4888">
        <w:rPr>
          <w:rFonts w:ascii="Garamond" w:hAnsi="Garamond" w:cs="Times New Roman"/>
          <w:sz w:val="26"/>
          <w:szCs w:val="26"/>
        </w:rPr>
        <w:t>Desain penelitian ini bersifat fleksibel dan adaptif, mengikuti perkembangan data yang muncul di lapangan. Temuan kemudian dianalisis melalui triangulasi, pengembangan tema, dan interpretasi mendalam untuk memahami keterkaitan antara nilai tasawuf dan proses pembentukan karakter sosial mahasiswa.</w:t>
      </w:r>
    </w:p>
    <w:p w14:paraId="6462D980" w14:textId="77777777" w:rsidR="002E4888" w:rsidRPr="002E4888" w:rsidRDefault="002E4888" w:rsidP="002E4888">
      <w:pPr>
        <w:pStyle w:val="ListParagraph"/>
        <w:numPr>
          <w:ilvl w:val="0"/>
          <w:numId w:val="12"/>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Populasi</w:t>
      </w:r>
      <w:proofErr w:type="spellEnd"/>
      <w:r w:rsidRPr="002E4888">
        <w:rPr>
          <w:rFonts w:ascii="Garamond" w:hAnsi="Garamond" w:cs="Times New Roman"/>
          <w:b/>
          <w:bCs/>
          <w:sz w:val="26"/>
          <w:szCs w:val="26"/>
          <w:lang w:val="en-US"/>
        </w:rPr>
        <w:t xml:space="preserve"> dan </w:t>
      </w:r>
      <w:proofErr w:type="spellStart"/>
      <w:r w:rsidRPr="002E4888">
        <w:rPr>
          <w:rFonts w:ascii="Garamond" w:hAnsi="Garamond" w:cs="Times New Roman"/>
          <w:b/>
          <w:bCs/>
          <w:sz w:val="26"/>
          <w:szCs w:val="26"/>
          <w:lang w:val="en-US"/>
        </w:rPr>
        <w:t>Sampel</w:t>
      </w:r>
      <w:proofErr w:type="spellEnd"/>
    </w:p>
    <w:p w14:paraId="6E027322" w14:textId="1E79C073" w:rsidR="002E4888" w:rsidRPr="002E4888" w:rsidRDefault="002E4888" w:rsidP="002E4888">
      <w:pPr>
        <w:pStyle w:val="ListParagraph"/>
        <w:ind w:left="0" w:firstLine="720"/>
        <w:jc w:val="both"/>
        <w:rPr>
          <w:rFonts w:ascii="Garamond" w:hAnsi="Garamond" w:cs="Times New Roman"/>
          <w:sz w:val="26"/>
          <w:szCs w:val="26"/>
        </w:rPr>
      </w:pPr>
      <w:r w:rsidRPr="002E4888">
        <w:rPr>
          <w:rFonts w:ascii="Garamond" w:hAnsi="Garamond" w:cs="Times New Roman"/>
          <w:sz w:val="26"/>
          <w:szCs w:val="26"/>
        </w:rPr>
        <w:t xml:space="preserve">Penelitian dilakukan di Sekolah Tinggi Ilmu Tarbiyah (STIT) Balikpapan, Kalimantan Timur. Lokasi ini dipilih secara purposive dengan pertimbangan bahwa kampus tersebut memiliki fokus pendidikan Islam dan pengembangan karakter berdasarkan nilai spiritual, sehingga relevan untuk mengkaji internalisasi nilai tasawuf dalam pembentukan karakter sosial. Subjek penelitian meliputi dosen yang mengampu </w:t>
      </w:r>
      <w:r w:rsidRPr="002E4888">
        <w:rPr>
          <w:rFonts w:ascii="Garamond" w:hAnsi="Garamond" w:cs="Times New Roman"/>
          <w:sz w:val="26"/>
          <w:szCs w:val="26"/>
        </w:rPr>
        <w:lastRenderedPageBreak/>
        <w:t>mata kuliah tasawuf serta mahasiswa semester III dan V sebagai representasi peserta didik aktif yang telah mengikuti mata kuliah bernuansa spiritual.</w:t>
      </w:r>
      <w:r w:rsidRPr="002E4888">
        <w:rPr>
          <w:rStyle w:val="FootnoteReference"/>
          <w:rFonts w:ascii="Garamond" w:hAnsi="Garamond" w:cs="Times New Roman"/>
          <w:sz w:val="26"/>
          <w:szCs w:val="26"/>
        </w:rPr>
        <w:footnoteReference w:id="21"/>
      </w:r>
    </w:p>
    <w:p w14:paraId="6F07BFA2" w14:textId="77777777" w:rsidR="002E4888" w:rsidRPr="002E4888" w:rsidRDefault="002E4888" w:rsidP="002E4888">
      <w:pPr>
        <w:pStyle w:val="ListParagraph"/>
        <w:numPr>
          <w:ilvl w:val="0"/>
          <w:numId w:val="12"/>
        </w:numPr>
        <w:jc w:val="both"/>
        <w:rPr>
          <w:rFonts w:ascii="Garamond" w:hAnsi="Garamond" w:cs="Times New Roman"/>
          <w:b/>
          <w:bCs/>
          <w:sz w:val="26"/>
          <w:szCs w:val="26"/>
        </w:rPr>
      </w:pPr>
      <w:r w:rsidRPr="002E4888">
        <w:rPr>
          <w:rFonts w:ascii="Garamond" w:hAnsi="Garamond" w:cs="Times New Roman"/>
          <w:b/>
          <w:bCs/>
          <w:sz w:val="26"/>
          <w:szCs w:val="26"/>
        </w:rPr>
        <w:t>Teknik Pengumpulan Data</w:t>
      </w:r>
    </w:p>
    <w:p w14:paraId="174F936E" w14:textId="77777777" w:rsidR="002E4888" w:rsidRPr="002E4888" w:rsidRDefault="002E4888" w:rsidP="002E4888">
      <w:pPr>
        <w:ind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Data </w:t>
      </w:r>
      <w:proofErr w:type="spellStart"/>
      <w:r w:rsidRPr="002E4888">
        <w:rPr>
          <w:rFonts w:ascii="Garamond" w:hAnsi="Garamond" w:cs="Times New Roman"/>
          <w:sz w:val="26"/>
          <w:szCs w:val="26"/>
          <w:lang w:val="en-US"/>
        </w:rPr>
        <w:t>dikumpulkan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teknik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yaitu</w:t>
      </w:r>
      <w:proofErr w:type="spellEnd"/>
      <w:r w:rsidRPr="002E4888">
        <w:rPr>
          <w:rFonts w:ascii="Garamond" w:hAnsi="Garamond" w:cs="Times New Roman"/>
          <w:sz w:val="26"/>
          <w:szCs w:val="26"/>
          <w:lang w:val="en-US"/>
        </w:rPr>
        <w:t>:</w:t>
      </w:r>
    </w:p>
    <w:p w14:paraId="03515CC3" w14:textId="2150F884" w:rsidR="002E4888" w:rsidRPr="002E4888" w:rsidRDefault="002E4888" w:rsidP="002E4888">
      <w:pPr>
        <w:pStyle w:val="ListParagraph"/>
        <w:numPr>
          <w:ilvl w:val="0"/>
          <w:numId w:val="11"/>
        </w:numPr>
        <w:jc w:val="both"/>
        <w:rPr>
          <w:rFonts w:ascii="Garamond" w:hAnsi="Garamond" w:cs="Times New Roman"/>
          <w:sz w:val="26"/>
          <w:szCs w:val="26"/>
          <w:lang w:val="en-US"/>
        </w:rPr>
      </w:pPr>
      <w:proofErr w:type="spellStart"/>
      <w:r w:rsidRPr="002E4888">
        <w:rPr>
          <w:rFonts w:ascii="Garamond" w:hAnsi="Garamond" w:cs="Times New Roman"/>
          <w:sz w:val="26"/>
          <w:szCs w:val="26"/>
          <w:lang w:val="en-US"/>
        </w:rPr>
        <w:t>Wawancara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mendalam</w:t>
      </w:r>
      <w:proofErr w:type="spellEnd"/>
      <w:r w:rsidRPr="002E4888">
        <w:rPr>
          <w:rFonts w:ascii="Garamond" w:hAnsi="Garamond" w:cs="Times New Roman"/>
          <w:sz w:val="26"/>
          <w:szCs w:val="26"/>
          <w:lang w:val="en-US"/>
        </w:rPr>
        <w:t xml:space="preserve"> (in-depth interview) </w:t>
      </w:r>
      <w:proofErr w:type="spellStart"/>
      <w:r w:rsidRPr="002E4888">
        <w:rPr>
          <w:rFonts w:ascii="Garamond" w:hAnsi="Garamond" w:cs="Times New Roman"/>
          <w:sz w:val="26"/>
          <w:szCs w:val="26"/>
          <w:lang w:val="en-US"/>
        </w:rPr>
        <w:t>kepada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dosen</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memperoleh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informasi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langsung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mengenai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pemahaman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implementasi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pengalaman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terkait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sehari-hari</w:t>
      </w:r>
      <w:proofErr w:type="spellEnd"/>
      <w:r w:rsidRPr="002E4888">
        <w:rPr>
          <w:rFonts w:ascii="Garamond" w:hAnsi="Garamond" w:cs="Times New Roman"/>
          <w:sz w:val="26"/>
          <w:szCs w:val="26"/>
          <w:lang w:val="en-US"/>
        </w:rPr>
        <w:t>.</w:t>
      </w:r>
    </w:p>
    <w:p w14:paraId="001804E6" w14:textId="5511D23B" w:rsidR="002E4888" w:rsidRPr="002E4888" w:rsidRDefault="002E4888" w:rsidP="002E4888">
      <w:pPr>
        <w:pStyle w:val="ListParagraph"/>
        <w:numPr>
          <w:ilvl w:val="0"/>
          <w:numId w:val="11"/>
        </w:numPr>
        <w:jc w:val="both"/>
        <w:rPr>
          <w:rFonts w:ascii="Garamond" w:hAnsi="Garamond" w:cs="Times New Roman"/>
          <w:sz w:val="26"/>
          <w:szCs w:val="26"/>
          <w:lang w:val="en-US"/>
        </w:rPr>
      </w:pPr>
      <w:proofErr w:type="spellStart"/>
      <w:r w:rsidRPr="002E4888">
        <w:rPr>
          <w:rFonts w:ascii="Garamond" w:hAnsi="Garamond" w:cs="Times New Roman"/>
          <w:sz w:val="26"/>
          <w:szCs w:val="26"/>
          <w:lang w:val="en-US"/>
        </w:rPr>
        <w:t>Observasi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aktivitas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akademik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interaksi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di </w:t>
      </w:r>
      <w:proofErr w:type="spellStart"/>
      <w:r w:rsidRPr="002E4888">
        <w:rPr>
          <w:rFonts w:ascii="Garamond" w:hAnsi="Garamond" w:cs="Times New Roman"/>
          <w:sz w:val="26"/>
          <w:szCs w:val="26"/>
          <w:lang w:val="en-US"/>
        </w:rPr>
        <w:t>lingkungan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guna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menemukan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praktik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tawadhu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empati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kerjasama</w:t>
      </w:r>
      <w:proofErr w:type="spellEnd"/>
      <w:r w:rsidRPr="002E4888">
        <w:rPr>
          <w:rFonts w:ascii="Garamond" w:hAnsi="Garamond" w:cs="Times New Roman"/>
          <w:sz w:val="26"/>
          <w:szCs w:val="26"/>
          <w:lang w:val="en-US"/>
        </w:rPr>
        <w:t>.</w:t>
      </w:r>
    </w:p>
    <w:p w14:paraId="476A102C" w14:textId="00CC6CE4" w:rsidR="002E4888" w:rsidRPr="002E4888" w:rsidRDefault="002E4888" w:rsidP="002E4888">
      <w:pPr>
        <w:pStyle w:val="ListParagraph"/>
        <w:numPr>
          <w:ilvl w:val="0"/>
          <w:numId w:val="11"/>
        </w:numPr>
        <w:jc w:val="both"/>
        <w:rPr>
          <w:rFonts w:ascii="Garamond" w:hAnsi="Garamond" w:cs="Times New Roman"/>
          <w:sz w:val="26"/>
          <w:szCs w:val="26"/>
          <w:lang w:val="en-US"/>
        </w:rPr>
      </w:pPr>
      <w:proofErr w:type="spellStart"/>
      <w:r w:rsidRPr="002E4888">
        <w:rPr>
          <w:rFonts w:ascii="Garamond" w:hAnsi="Garamond" w:cs="Times New Roman"/>
          <w:sz w:val="26"/>
          <w:szCs w:val="26"/>
          <w:lang w:val="en-US"/>
        </w:rPr>
        <w:t>Dokumentasi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meliputi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silabus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RPS,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dokumentasi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kegiatan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pembinaan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guna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memperkuat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temuan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penelitian</w:t>
      </w:r>
      <w:proofErr w:type="spellEnd"/>
      <w:r w:rsidRPr="002E4888">
        <w:rPr>
          <w:rFonts w:ascii="Garamond" w:hAnsi="Garamond" w:cs="Times New Roman"/>
          <w:sz w:val="26"/>
          <w:szCs w:val="26"/>
          <w:lang w:val="en-US"/>
        </w:rPr>
        <w:t>.</w:t>
      </w:r>
    </w:p>
    <w:p w14:paraId="238673EC" w14:textId="7A55CEF9" w:rsidR="002E4888" w:rsidRDefault="002E4888" w:rsidP="002E4888">
      <w:pPr>
        <w:pStyle w:val="ListParagraph"/>
        <w:ind w:left="0"/>
        <w:jc w:val="both"/>
        <w:rPr>
          <w:rFonts w:ascii="Garamond" w:hAnsi="Garamond" w:cs="Times New Roman"/>
          <w:sz w:val="26"/>
          <w:szCs w:val="26"/>
          <w:lang w:val="en-US"/>
        </w:rPr>
      </w:pPr>
      <w:r w:rsidRPr="002E4888">
        <w:rPr>
          <w:rFonts w:ascii="Garamond" w:hAnsi="Garamond" w:cs="Times New Roman"/>
          <w:sz w:val="26"/>
          <w:szCs w:val="26"/>
          <w:lang w:val="en-US"/>
        </w:rPr>
        <w:t xml:space="preserve">Teknik </w:t>
      </w:r>
      <w:proofErr w:type="spellStart"/>
      <w:r w:rsidRPr="002E4888">
        <w:rPr>
          <w:rFonts w:ascii="Garamond" w:hAnsi="Garamond" w:cs="Times New Roman"/>
          <w:sz w:val="26"/>
          <w:szCs w:val="26"/>
          <w:lang w:val="en-US"/>
        </w:rPr>
        <w:t>triangulasi</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digunakan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memastikan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validitas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temuan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yakni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membandingkan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hasil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wawancara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observasi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2"/>
      </w:r>
    </w:p>
    <w:p w14:paraId="48F215BA" w14:textId="77777777" w:rsidR="002E4888" w:rsidRPr="002E4888" w:rsidRDefault="002E4888" w:rsidP="002E4888">
      <w:pPr>
        <w:pStyle w:val="ListParagraph"/>
        <w:ind w:left="0"/>
        <w:jc w:val="both"/>
        <w:rPr>
          <w:rFonts w:ascii="Garamond" w:hAnsi="Garamond" w:cs="Times New Roman"/>
          <w:sz w:val="26"/>
          <w:szCs w:val="26"/>
          <w:lang w:val="en-US"/>
        </w:rPr>
      </w:pPr>
    </w:p>
    <w:p w14:paraId="7819EA1D" w14:textId="77777777" w:rsidR="002E4888" w:rsidRPr="002E4888" w:rsidRDefault="002E4888" w:rsidP="002E4888">
      <w:pPr>
        <w:pStyle w:val="ListParagraph"/>
        <w:numPr>
          <w:ilvl w:val="0"/>
          <w:numId w:val="13"/>
        </w:numPr>
        <w:jc w:val="both"/>
        <w:rPr>
          <w:rFonts w:ascii="Garamond" w:hAnsi="Garamond" w:cs="Times New Roman"/>
          <w:b/>
          <w:bCs/>
          <w:sz w:val="26"/>
          <w:szCs w:val="26"/>
          <w:lang w:val="en-US"/>
        </w:rPr>
      </w:pPr>
      <w:r w:rsidRPr="002E4888">
        <w:rPr>
          <w:rFonts w:ascii="Garamond" w:hAnsi="Garamond" w:cs="Times New Roman"/>
          <w:b/>
          <w:bCs/>
          <w:sz w:val="26"/>
          <w:szCs w:val="26"/>
          <w:lang w:val="en-US"/>
        </w:rPr>
        <w:t xml:space="preserve">Teknik </w:t>
      </w:r>
      <w:proofErr w:type="spellStart"/>
      <w:r w:rsidRPr="002E4888">
        <w:rPr>
          <w:rFonts w:ascii="Garamond" w:hAnsi="Garamond" w:cs="Times New Roman"/>
          <w:b/>
          <w:bCs/>
          <w:sz w:val="26"/>
          <w:szCs w:val="26"/>
          <w:lang w:val="en-US"/>
        </w:rPr>
        <w:t>Analisis</w:t>
      </w:r>
      <w:proofErr w:type="spellEnd"/>
      <w:r w:rsidRPr="002E4888">
        <w:rPr>
          <w:rFonts w:ascii="Garamond" w:hAnsi="Garamond" w:cs="Times New Roman"/>
          <w:b/>
          <w:bCs/>
          <w:sz w:val="26"/>
          <w:szCs w:val="26"/>
          <w:lang w:val="en-US"/>
        </w:rPr>
        <w:t xml:space="preserve"> Data</w:t>
      </w:r>
    </w:p>
    <w:p w14:paraId="15376262"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Analisis</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dilakukan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menurut</w:t>
      </w:r>
      <w:proofErr w:type="spellEnd"/>
      <w:r w:rsidRPr="002E4888">
        <w:rPr>
          <w:rFonts w:ascii="Garamond" w:hAnsi="Garamond" w:cs="Times New Roman"/>
          <w:sz w:val="26"/>
          <w:szCs w:val="26"/>
          <w:lang w:val="en-US"/>
        </w:rPr>
        <w:t xml:space="preserve"> model Miles &amp; Huberman yang </w:t>
      </w:r>
      <w:proofErr w:type="spellStart"/>
      <w:r w:rsidRPr="002E4888">
        <w:rPr>
          <w:rFonts w:ascii="Garamond" w:hAnsi="Garamond" w:cs="Times New Roman"/>
          <w:sz w:val="26"/>
          <w:szCs w:val="26"/>
          <w:lang w:val="en-US"/>
        </w:rPr>
        <w:t>mencakup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tahap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yaitu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reduksi</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penyajian</w:t>
      </w:r>
      <w:proofErr w:type="spellEnd"/>
      <w:r w:rsidRPr="002E4888">
        <w:rPr>
          <w:rFonts w:ascii="Garamond" w:hAnsi="Garamond" w:cs="Times New Roman"/>
          <w:sz w:val="26"/>
          <w:szCs w:val="26"/>
          <w:lang w:val="en-US"/>
        </w:rPr>
        <w:t xml:space="preserve"> data, dan </w:t>
      </w:r>
      <w:proofErr w:type="spellStart"/>
      <w:r w:rsidRPr="002E4888">
        <w:rPr>
          <w:rFonts w:ascii="Garamond" w:hAnsi="Garamond" w:cs="Times New Roman"/>
          <w:sz w:val="26"/>
          <w:szCs w:val="26"/>
          <w:lang w:val="en-US"/>
        </w:rPr>
        <w:t>penarikan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kesimpulan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3"/>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Reduksi</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dilakukan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menyeleksi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menyederhanakan</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sesuai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fokus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Penyajian</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dilakukan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narasi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deskriptif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sedangkan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kesimpulan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ditarik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interpretasi</w:t>
      </w:r>
      <w:proofErr w:type="spellEnd"/>
      <w:r w:rsidRPr="002E4888">
        <w:rPr>
          <w:rFonts w:ascii="Garamond" w:hAnsi="Garamond" w:cs="Times New Roman"/>
          <w:sz w:val="26"/>
          <w:szCs w:val="26"/>
          <w:lang w:val="en-US"/>
        </w:rPr>
        <w:t xml:space="preserve"> data </w:t>
      </w:r>
      <w:proofErr w:type="spellStart"/>
      <w:r w:rsidRPr="002E4888">
        <w:rPr>
          <w:rFonts w:ascii="Garamond" w:hAnsi="Garamond" w:cs="Times New Roman"/>
          <w:sz w:val="26"/>
          <w:szCs w:val="26"/>
          <w:lang w:val="en-US"/>
        </w:rPr>
        <w:t>lapangan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menemukan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keterkaitan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antara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didik</w:t>
      </w:r>
      <w:proofErr w:type="spellEnd"/>
      <w:r w:rsidRPr="002E4888">
        <w:rPr>
          <w:rFonts w:ascii="Garamond" w:hAnsi="Garamond" w:cs="Times New Roman"/>
          <w:sz w:val="26"/>
          <w:szCs w:val="26"/>
          <w:lang w:val="en-US"/>
        </w:rPr>
        <w:t>.</w:t>
      </w:r>
    </w:p>
    <w:p w14:paraId="2C20A0C3" w14:textId="08C60938" w:rsidR="00B051E7" w:rsidRPr="00BC66B3" w:rsidRDefault="00B051E7"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Garamond" w:hAnsi="Times New Roman" w:cs="Times New Roman"/>
          <w:color w:val="000000"/>
          <w:sz w:val="22"/>
          <w:szCs w:val="22"/>
          <w:lang w:val="en-US"/>
        </w:rPr>
      </w:pPr>
    </w:p>
    <w:p w14:paraId="7AC42CE8" w14:textId="77777777" w:rsidR="00B051E7" w:rsidRPr="00F27532"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F27532">
        <w:rPr>
          <w:rFonts w:ascii="Garamond" w:eastAsia="Garamond" w:hAnsi="Garamond" w:cs="Times New Roman"/>
          <w:b/>
          <w:bCs/>
          <w:color w:val="000000"/>
          <w:sz w:val="26"/>
          <w:szCs w:val="26"/>
          <w:lang w:val="en-US"/>
        </w:rPr>
        <w:t>HASIL DAN PEMBAHASAN</w:t>
      </w:r>
    </w:p>
    <w:p w14:paraId="13E3AA2B" w14:textId="0AF49313"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Peran</w:t>
      </w:r>
      <w:proofErr w:type="spellEnd"/>
      <w:r w:rsidRPr="002E4888">
        <w:rPr>
          <w:rFonts w:ascii="Garamond" w:hAnsi="Garamond" w:cs="Times New Roman"/>
          <w:b/>
          <w:bCs/>
          <w:sz w:val="26"/>
          <w:szCs w:val="26"/>
          <w:lang w:val="en-US"/>
        </w:rPr>
        <w:t xml:space="preserve"> Mata </w:t>
      </w:r>
      <w:proofErr w:type="spellStart"/>
      <w:r w:rsidRPr="002E4888">
        <w:rPr>
          <w:rFonts w:ascii="Garamond" w:hAnsi="Garamond" w:cs="Times New Roman"/>
          <w:b/>
          <w:bCs/>
          <w:sz w:val="26"/>
          <w:szCs w:val="26"/>
          <w:lang w:val="en-US"/>
        </w:rPr>
        <w:t>Kuliah</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Tasawuf</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dalam</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Pembentukan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Karakter</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Sosial</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Mahasiswa</w:t>
      </w:r>
      <w:proofErr w:type="spellEnd"/>
      <w:r w:rsidRPr="002E4888">
        <w:rPr>
          <w:rFonts w:ascii="Garamond" w:hAnsi="Garamond" w:cs="Times New Roman"/>
          <w:b/>
          <w:bCs/>
          <w:sz w:val="26"/>
          <w:szCs w:val="26"/>
          <w:lang w:val="en-US"/>
        </w:rPr>
        <w:t xml:space="preserve"> di Era Modern</w:t>
      </w:r>
    </w:p>
    <w:p w14:paraId="2003DEA2"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Mata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di </w:t>
      </w:r>
      <w:proofErr w:type="spellStart"/>
      <w:r w:rsidRPr="002E4888">
        <w:rPr>
          <w:rFonts w:ascii="Garamond" w:hAnsi="Garamond" w:cs="Times New Roman"/>
          <w:sz w:val="26"/>
          <w:szCs w:val="26"/>
          <w:lang w:val="en-US"/>
        </w:rPr>
        <w:t>perguruan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tinggi</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sangat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penting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terutama</w:t>
      </w:r>
      <w:proofErr w:type="spellEnd"/>
      <w:r w:rsidRPr="002E4888">
        <w:rPr>
          <w:rFonts w:ascii="Garamond" w:hAnsi="Garamond" w:cs="Times New Roman"/>
          <w:sz w:val="26"/>
          <w:szCs w:val="26"/>
          <w:lang w:val="en-US"/>
        </w:rPr>
        <w:t xml:space="preserve"> di </w:t>
      </w:r>
      <w:proofErr w:type="spellStart"/>
      <w:r w:rsidRPr="002E4888">
        <w:rPr>
          <w:rFonts w:ascii="Garamond" w:hAnsi="Garamond" w:cs="Times New Roman"/>
          <w:sz w:val="26"/>
          <w:szCs w:val="26"/>
          <w:lang w:val="en-US"/>
        </w:rPr>
        <w:t>tengah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derasnya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globalisasi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Perkembangan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teknologi</w:t>
      </w:r>
      <w:proofErr w:type="spellEnd"/>
      <w:r w:rsidRPr="002E4888">
        <w:rPr>
          <w:rFonts w:ascii="Garamond" w:hAnsi="Garamond" w:cs="Times New Roman"/>
          <w:sz w:val="26"/>
          <w:szCs w:val="26"/>
          <w:lang w:val="en-US"/>
        </w:rPr>
        <w:t xml:space="preserve"> digital yang </w:t>
      </w:r>
      <w:proofErr w:type="spellStart"/>
      <w:r w:rsidRPr="002E4888">
        <w:rPr>
          <w:rFonts w:ascii="Garamond" w:hAnsi="Garamond" w:cs="Times New Roman"/>
          <w:sz w:val="26"/>
          <w:szCs w:val="26"/>
          <w:lang w:val="en-US"/>
        </w:rPr>
        <w:t>begitu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cepat</w:t>
      </w:r>
      <w:proofErr w:type="spellEnd"/>
      <w:r w:rsidRPr="002E4888">
        <w:rPr>
          <w:rFonts w:ascii="Garamond" w:hAnsi="Garamond" w:cs="Times New Roman"/>
          <w:sz w:val="26"/>
          <w:szCs w:val="26"/>
          <w:lang w:val="en-US"/>
        </w:rPr>
        <w:t xml:space="preserve"> di era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memberikan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banyak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manfaat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melahirkan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persoalan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meningkatnya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individualisme</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gaya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hidup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hedonis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menurunnya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empati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lastRenderedPageBreak/>
        <w:t>antarindividu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menuntut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hadirnya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mengembangkan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kecerdasan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intelektual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membina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dimensi</w:t>
      </w:r>
      <w:proofErr w:type="spellEnd"/>
      <w:r w:rsidRPr="002E4888">
        <w:rPr>
          <w:rFonts w:ascii="Garamond" w:hAnsi="Garamond" w:cs="Times New Roman"/>
          <w:sz w:val="26"/>
          <w:szCs w:val="26"/>
          <w:lang w:val="en-US"/>
        </w:rPr>
        <w:t xml:space="preserve"> spiritual dan </w:t>
      </w:r>
      <w:proofErr w:type="spellStart"/>
      <w:r w:rsidRPr="002E4888">
        <w:rPr>
          <w:rFonts w:ascii="Garamond" w:hAnsi="Garamond" w:cs="Times New Roman"/>
          <w:sz w:val="26"/>
          <w:szCs w:val="26"/>
          <w:lang w:val="en-US"/>
        </w:rPr>
        <w:t>kemanusiaan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konteks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tampil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disiplin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bukan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hubungan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manusia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Allah,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menguatkan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moral, dan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fondasi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bermasyarakat</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4"/>
      </w:r>
    </w:p>
    <w:p w14:paraId="4F80AA5E"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Di </w:t>
      </w:r>
      <w:proofErr w:type="spellStart"/>
      <w:r w:rsidRPr="002E4888">
        <w:rPr>
          <w:rFonts w:ascii="Garamond" w:hAnsi="Garamond" w:cs="Times New Roman"/>
          <w:sz w:val="26"/>
          <w:szCs w:val="26"/>
          <w:lang w:val="en-US"/>
        </w:rPr>
        <w:t>lingkungan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perguruan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tinggi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termasuk</w:t>
      </w:r>
      <w:proofErr w:type="spellEnd"/>
      <w:r w:rsidRPr="002E4888">
        <w:rPr>
          <w:rFonts w:ascii="Garamond" w:hAnsi="Garamond" w:cs="Times New Roman"/>
          <w:sz w:val="26"/>
          <w:szCs w:val="26"/>
          <w:lang w:val="en-US"/>
        </w:rPr>
        <w:t xml:space="preserve"> di STIT Balikpapan, </w:t>
      </w:r>
      <w:proofErr w:type="spellStart"/>
      <w:r w:rsidRPr="002E4888">
        <w:rPr>
          <w:rFonts w:ascii="Garamond" w:hAnsi="Garamond" w:cs="Times New Roman"/>
          <w:sz w:val="26"/>
          <w:szCs w:val="26"/>
          <w:lang w:val="en-US"/>
        </w:rPr>
        <w:t>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dipandang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media </w:t>
      </w:r>
      <w:proofErr w:type="spellStart"/>
      <w:r w:rsidRPr="002E4888">
        <w:rPr>
          <w:rFonts w:ascii="Garamond" w:hAnsi="Garamond" w:cs="Times New Roman"/>
          <w:sz w:val="26"/>
          <w:szCs w:val="26"/>
          <w:lang w:val="en-US"/>
        </w:rPr>
        <w:t>penting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membangun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kesadaran</w:t>
      </w:r>
      <w:proofErr w:type="spellEnd"/>
      <w:r w:rsidRPr="002E4888">
        <w:rPr>
          <w:rFonts w:ascii="Garamond" w:hAnsi="Garamond" w:cs="Times New Roman"/>
          <w:sz w:val="26"/>
          <w:szCs w:val="26"/>
          <w:lang w:val="en-US"/>
        </w:rPr>
        <w:t xml:space="preserve"> spiritual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sekaligus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meningkatkan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sensitivitas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akademik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maupun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kemasyarakatan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5"/>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demikian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bersifat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teoritis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diarahkan</w:t>
      </w:r>
      <w:proofErr w:type="spellEnd"/>
      <w:r w:rsidRPr="002E4888">
        <w:rPr>
          <w:rFonts w:ascii="Garamond" w:hAnsi="Garamond" w:cs="Times New Roman"/>
          <w:sz w:val="26"/>
          <w:szCs w:val="26"/>
          <w:lang w:val="en-US"/>
        </w:rPr>
        <w:t xml:space="preserve"> pada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pribadi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merespons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tantangan</w:t>
      </w:r>
      <w:proofErr w:type="spellEnd"/>
      <w:r w:rsidRPr="002E4888">
        <w:rPr>
          <w:rFonts w:ascii="Garamond" w:hAnsi="Garamond" w:cs="Times New Roman"/>
          <w:sz w:val="26"/>
          <w:szCs w:val="26"/>
          <w:lang w:val="en-US"/>
        </w:rPr>
        <w:t xml:space="preserve"> moral dan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di era modern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bijak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beretika</w:t>
      </w:r>
      <w:proofErr w:type="spellEnd"/>
      <w:r w:rsidRPr="002E4888">
        <w:rPr>
          <w:rFonts w:ascii="Garamond" w:hAnsi="Garamond" w:cs="Times New Roman"/>
          <w:sz w:val="26"/>
          <w:szCs w:val="26"/>
          <w:lang w:val="en-US"/>
        </w:rPr>
        <w:t>.</w:t>
      </w:r>
    </w:p>
    <w:p w14:paraId="1614B6DC"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mengajarkan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konsep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penyucian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jiwa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tazkiyah</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nafs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jalan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membebaskan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sifat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buruk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kesombongan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dengki</w:t>
      </w:r>
      <w:proofErr w:type="spellEnd"/>
      <w:r w:rsidRPr="002E4888">
        <w:rPr>
          <w:rFonts w:ascii="Garamond" w:hAnsi="Garamond" w:cs="Times New Roman"/>
          <w:sz w:val="26"/>
          <w:szCs w:val="26"/>
          <w:lang w:val="en-US"/>
        </w:rPr>
        <w:t xml:space="preserve">, dan egoism </w:t>
      </w:r>
      <w:proofErr w:type="spellStart"/>
      <w:r w:rsidRPr="002E4888">
        <w:rPr>
          <w:rFonts w:ascii="Garamond" w:hAnsi="Garamond" w:cs="Times New Roman"/>
          <w:sz w:val="26"/>
          <w:szCs w:val="26"/>
          <w:lang w:val="en-US"/>
        </w:rPr>
        <w:t>sifat-sifat</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masalah</w:t>
      </w:r>
      <w:proofErr w:type="spellEnd"/>
      <w:r w:rsidRPr="002E4888">
        <w:rPr>
          <w:rFonts w:ascii="Garamond" w:hAnsi="Garamond" w:cs="Times New Roman"/>
          <w:sz w:val="26"/>
          <w:szCs w:val="26"/>
          <w:lang w:val="en-US"/>
        </w:rPr>
        <w:t xml:space="preserve"> moral </w:t>
      </w:r>
      <w:proofErr w:type="spellStart"/>
      <w:r w:rsidRPr="002E4888">
        <w:rPr>
          <w:rFonts w:ascii="Garamond" w:hAnsi="Garamond" w:cs="Times New Roman"/>
          <w:sz w:val="26"/>
          <w:szCs w:val="26"/>
          <w:lang w:val="en-US"/>
        </w:rPr>
        <w:t>kontemporer</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6"/>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proses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diajak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memahami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kebanggaan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tercermin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kontribusi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nyata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7"/>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menginternalisasi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diharapkan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membangun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rendah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tawadhu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sabar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empatik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menghargai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keberagaman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8"/>
      </w:r>
      <w:r w:rsidRPr="002E4888">
        <w:rPr>
          <w:rFonts w:ascii="Garamond" w:hAnsi="Garamond" w:cs="Times New Roman"/>
          <w:sz w:val="26"/>
          <w:szCs w:val="26"/>
          <w:lang w:val="en-US"/>
        </w:rPr>
        <w:t xml:space="preserve"> Nilai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sangat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penting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merespons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dinamika</w:t>
      </w:r>
      <w:proofErr w:type="spellEnd"/>
      <w:r w:rsidRPr="002E4888">
        <w:rPr>
          <w:rFonts w:ascii="Garamond" w:hAnsi="Garamond" w:cs="Times New Roman"/>
          <w:sz w:val="26"/>
          <w:szCs w:val="26"/>
          <w:lang w:val="en-US"/>
        </w:rPr>
        <w:t xml:space="preserve"> dunia digital yang </w:t>
      </w:r>
      <w:proofErr w:type="spellStart"/>
      <w:r w:rsidRPr="002E4888">
        <w:rPr>
          <w:rFonts w:ascii="Garamond" w:hAnsi="Garamond" w:cs="Times New Roman"/>
          <w:sz w:val="26"/>
          <w:szCs w:val="26"/>
          <w:lang w:val="en-US"/>
        </w:rPr>
        <w:t>rentan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polarisasi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kebencian</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konflik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29"/>
      </w:r>
    </w:p>
    <w:p w14:paraId="33B7E02D" w14:textId="77777777" w:rsidR="002E4888" w:rsidRPr="002E4888" w:rsidRDefault="002E4888" w:rsidP="002E4888">
      <w:pPr>
        <w:pStyle w:val="ListParagraph"/>
        <w:ind w:left="0" w:firstLine="720"/>
        <w:jc w:val="both"/>
        <w:rPr>
          <w:rFonts w:ascii="Garamond" w:hAnsi="Garamond" w:cs="Times New Roman"/>
          <w:sz w:val="26"/>
          <w:szCs w:val="26"/>
        </w:rPr>
      </w:pPr>
      <w:r w:rsidRPr="002E4888">
        <w:rPr>
          <w:rFonts w:ascii="Garamond" w:hAnsi="Garamond" w:cs="Times New Roman"/>
          <w:sz w:val="26"/>
          <w:szCs w:val="26"/>
        </w:rPr>
        <w:t xml:space="preserve">Berdasarkan wawancara dengan mahasiswa STIT Balikpapan, tampak bahwa tasawuf dipahami memiliki peran penting dalam membentuk karakter sosial mahasiswa, meskipun tingkat pengaruhnya tidak selalu sama pada setiap individu. Sebagian besar mahasiswa melihat tasawuf sebagai panduan spiritual yang membantu mereka menjaga keseimbangan antara kebutuhan duniawi dan nilai-nilai keagamaan. Tasawuf juga dianggap sebagai ruang pembinaan akhlak dan kemampuan mengendalikan diri. Meski demikian, ada sebagian responden yang menilai bahwa penerapannya di lingkungan kampus masih bersifat teoritis dan belum sepenuhnya terasa dalam praktik keseharian. Mayoritas mahasiswa memaknai tasawuf sebagai pedoman untuk menjalani hidup yang lebih seimbang dan penuh kesadaran. Mereka melihat tasawuf sebagai sarana </w:t>
      </w:r>
      <w:r w:rsidRPr="002E4888">
        <w:rPr>
          <w:rFonts w:ascii="Garamond" w:hAnsi="Garamond" w:cs="Times New Roman"/>
          <w:sz w:val="26"/>
          <w:szCs w:val="26"/>
        </w:rPr>
        <w:lastRenderedPageBreak/>
        <w:t>menumbuhkan empati, sikap rendah hati, serta kemampuan bertoleransi. Nilai-nilai seperti muhasabah dan tazkiyatun nafs dianggap membantu mereka melakukan introspeksi dan memperbaiki diri secara berkelanjutan. Namun, beberapa responden mengakui bahwa pemahaman mereka tentang tasawuf masih terbatas, sehingga penerapannya dalam keseharian belum optimal.</w:t>
      </w:r>
      <w:r w:rsidRPr="002E4888">
        <w:rPr>
          <w:rStyle w:val="FootnoteReference"/>
          <w:rFonts w:ascii="Garamond" w:hAnsi="Garamond" w:cs="Times New Roman"/>
          <w:sz w:val="26"/>
          <w:szCs w:val="26"/>
        </w:rPr>
        <w:footnoteReference w:id="30"/>
      </w:r>
    </w:p>
    <w:p w14:paraId="301FF86A" w14:textId="77777777" w:rsidR="002E4888" w:rsidRPr="002E4888" w:rsidRDefault="002E4888" w:rsidP="002E4888">
      <w:pPr>
        <w:pStyle w:val="ListParagraph"/>
        <w:ind w:left="360"/>
        <w:jc w:val="both"/>
        <w:rPr>
          <w:rFonts w:ascii="Garamond" w:hAnsi="Garamond" w:cs="Times New Roman"/>
          <w:sz w:val="26"/>
          <w:szCs w:val="26"/>
          <w:lang w:val="en-US"/>
        </w:rPr>
      </w:pPr>
    </w:p>
    <w:p w14:paraId="5589BAB8" w14:textId="77777777"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Pengaruh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b/>
          <w:bCs/>
          <w:sz w:val="26"/>
          <w:szCs w:val="26"/>
          <w:lang w:val="en-US"/>
        </w:rPr>
        <w:t>Tasawuf</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terhadap</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Sikap</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Religius</w:t>
      </w:r>
      <w:proofErr w:type="spellEnd"/>
      <w:r w:rsidRPr="002E4888">
        <w:rPr>
          <w:rFonts w:ascii="Garamond" w:hAnsi="Garamond" w:cs="Times New Roman"/>
          <w:b/>
          <w:bCs/>
          <w:sz w:val="26"/>
          <w:szCs w:val="26"/>
          <w:lang w:val="en-US"/>
        </w:rPr>
        <w:t xml:space="preserve"> dan Moral </w:t>
      </w:r>
      <w:proofErr w:type="spellStart"/>
      <w:r w:rsidRPr="002E4888">
        <w:rPr>
          <w:rFonts w:ascii="Garamond" w:hAnsi="Garamond" w:cs="Times New Roman"/>
          <w:b/>
          <w:bCs/>
          <w:sz w:val="26"/>
          <w:szCs w:val="26"/>
          <w:lang w:val="en-US"/>
        </w:rPr>
        <w:t>Mahasiswa</w:t>
      </w:r>
      <w:proofErr w:type="spellEnd"/>
    </w:p>
    <w:p w14:paraId="1FCD183C"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pemahaman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konseptual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pengamalan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spiritual dan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sehari-hari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Tradisi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klasik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menegaskan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diamalkan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latihan</w:t>
      </w:r>
      <w:proofErr w:type="spellEnd"/>
      <w:r w:rsidRPr="002E4888">
        <w:rPr>
          <w:rFonts w:ascii="Garamond" w:hAnsi="Garamond" w:cs="Times New Roman"/>
          <w:sz w:val="26"/>
          <w:szCs w:val="26"/>
          <w:lang w:val="en-US"/>
        </w:rPr>
        <w:t xml:space="preserve"> spiritual (</w:t>
      </w:r>
      <w:proofErr w:type="spellStart"/>
      <w:r w:rsidRPr="002E4888">
        <w:rPr>
          <w:rFonts w:ascii="Garamond" w:hAnsi="Garamond" w:cs="Times New Roman"/>
          <w:sz w:val="26"/>
          <w:szCs w:val="26"/>
          <w:lang w:val="en-US"/>
        </w:rPr>
        <w:t>riyadhah</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pembiasaan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sebagaimana</w:t>
      </w:r>
      <w:proofErr w:type="spellEnd"/>
      <w:r w:rsidRPr="002E4888">
        <w:rPr>
          <w:rFonts w:ascii="Garamond" w:hAnsi="Garamond" w:cs="Times New Roman"/>
          <w:sz w:val="26"/>
          <w:szCs w:val="26"/>
          <w:lang w:val="en-US"/>
        </w:rPr>
        <w:t xml:space="preserve"> Al-Ghazali </w:t>
      </w:r>
      <w:proofErr w:type="spellStart"/>
      <w:r w:rsidRPr="002E4888">
        <w:rPr>
          <w:rFonts w:ascii="Garamond" w:hAnsi="Garamond" w:cs="Times New Roman"/>
          <w:sz w:val="26"/>
          <w:szCs w:val="26"/>
          <w:lang w:val="en-US"/>
        </w:rPr>
        <w:t>menyatakan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tanpa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amal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hanyalah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kesombongan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1"/>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Penerapan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menumbuhkan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muraqabah </w:t>
      </w:r>
      <w:proofErr w:type="spellStart"/>
      <w:r w:rsidRPr="002E4888">
        <w:rPr>
          <w:rFonts w:ascii="Garamond" w:hAnsi="Garamond" w:cs="Times New Roman"/>
          <w:sz w:val="26"/>
          <w:szCs w:val="26"/>
          <w:lang w:val="en-US"/>
        </w:rPr>
        <w:t>kesadaran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Allah </w:t>
      </w:r>
      <w:proofErr w:type="spellStart"/>
      <w:r w:rsidRPr="002E4888">
        <w:rPr>
          <w:rFonts w:ascii="Garamond" w:hAnsi="Garamond" w:cs="Times New Roman"/>
          <w:sz w:val="26"/>
          <w:szCs w:val="26"/>
          <w:lang w:val="en-US"/>
        </w:rPr>
        <w:t>selalu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hadir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mengawasi</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mendorong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menghindari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tercela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plagiarisme</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kebohongan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akademik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konflik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2"/>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Selain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menanamkan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ikhlas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toleransi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kasih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sayang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antar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sebagaimana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tercermin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konsep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ukhuwwah</w:t>
      </w:r>
      <w:proofErr w:type="spellEnd"/>
      <w:r w:rsidRPr="002E4888">
        <w:rPr>
          <w:rFonts w:ascii="Garamond" w:hAnsi="Garamond" w:cs="Times New Roman"/>
          <w:sz w:val="26"/>
          <w:szCs w:val="26"/>
          <w:lang w:val="en-US"/>
        </w:rPr>
        <w:t xml:space="preserve"> Islamiyah.</w:t>
      </w:r>
      <w:r w:rsidRPr="002E4888">
        <w:rPr>
          <w:rStyle w:val="FootnoteReference"/>
          <w:rFonts w:ascii="Garamond" w:hAnsi="Garamond" w:cs="Times New Roman"/>
          <w:sz w:val="26"/>
          <w:szCs w:val="26"/>
          <w:lang w:val="en-US"/>
        </w:rPr>
        <w:footnoteReference w:id="33"/>
      </w:r>
    </w:p>
    <w:p w14:paraId="1A278526"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Di </w:t>
      </w:r>
      <w:proofErr w:type="spellStart"/>
      <w:r w:rsidRPr="002E4888">
        <w:rPr>
          <w:rFonts w:ascii="Garamond" w:hAnsi="Garamond" w:cs="Times New Roman"/>
          <w:sz w:val="26"/>
          <w:szCs w:val="26"/>
          <w:lang w:val="en-US"/>
        </w:rPr>
        <w:t>sisi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menopang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pengembangan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kecerdasan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Daniel Goleman </w:t>
      </w:r>
      <w:proofErr w:type="spellStart"/>
      <w:r w:rsidRPr="002E4888">
        <w:rPr>
          <w:rFonts w:ascii="Garamond" w:hAnsi="Garamond" w:cs="Times New Roman"/>
          <w:sz w:val="26"/>
          <w:szCs w:val="26"/>
          <w:lang w:val="en-US"/>
        </w:rPr>
        <w:t>menegaskan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kecerdasan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besar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keberhasilan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kepemimpinan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bermoral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4"/>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Prinsip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sejalan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mujahadah</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nafs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pengendalian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nafsu</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kesabaran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menghadapi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cobaan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5"/>
      </w:r>
      <w:r w:rsidRPr="002E4888">
        <w:rPr>
          <w:rFonts w:ascii="Garamond" w:hAnsi="Garamond" w:cs="Times New Roman"/>
          <w:sz w:val="26"/>
          <w:szCs w:val="26"/>
          <w:lang w:val="en-US"/>
        </w:rPr>
        <w:t xml:space="preserve"> Karena </w:t>
      </w:r>
      <w:proofErr w:type="spellStart"/>
      <w:r w:rsidRPr="002E4888">
        <w:rPr>
          <w:rFonts w:ascii="Garamond" w:hAnsi="Garamond" w:cs="Times New Roman"/>
          <w:sz w:val="26"/>
          <w:szCs w:val="26"/>
          <w:lang w:val="en-US"/>
        </w:rPr>
        <w:t>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mempelajari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umumnya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lebih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mengendalikan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empatik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menjaga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kualitas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hubungan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maupun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6"/>
      </w:r>
    </w:p>
    <w:p w14:paraId="792BC3FD"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rPr>
        <w:t xml:space="preserve">Sebagian besar mahasiswa menilai bahwa pembelajaran tasawuf berdampak positif pada interaksi sosial mereka. Tasawuf dianggap memperkuat empati, meningkatkan toleransi, dan menumbuhkan sensitivitas sosial. Selain itu, nilai-nilai sufistik dinilai membantu mahasiswa mengendalikan diri di tengah tantangan globalisasi dan digitalisasi yang kian kompleks. Mereka juga menyebut bahwa tasawuf berperan dalam membentuk sifat sabar, keikhlasan, dan kerendahan hati. Meskipun demikian, </w:t>
      </w:r>
      <w:r w:rsidRPr="002E4888">
        <w:rPr>
          <w:rFonts w:ascii="Garamond" w:hAnsi="Garamond" w:cs="Times New Roman"/>
          <w:sz w:val="26"/>
          <w:szCs w:val="26"/>
        </w:rPr>
        <w:lastRenderedPageBreak/>
        <w:t>beberapa mahasiswa merasakan bahwa pengaruh tersebut belum merata karena penerapannya di lingkungan kampus masih belum sepenuhnya menyeluruh.</w:t>
      </w:r>
      <w:r w:rsidRPr="002E4888">
        <w:rPr>
          <w:rStyle w:val="FootnoteReference"/>
          <w:rFonts w:ascii="Garamond" w:hAnsi="Garamond" w:cs="Times New Roman"/>
          <w:sz w:val="26"/>
          <w:szCs w:val="26"/>
        </w:rPr>
        <w:footnoteReference w:id="37"/>
      </w:r>
    </w:p>
    <w:p w14:paraId="1F0AC22A" w14:textId="77777777" w:rsidR="002E4888" w:rsidRPr="002E4888" w:rsidRDefault="002E4888" w:rsidP="002E4888">
      <w:pPr>
        <w:pStyle w:val="ListParagraph"/>
        <w:ind w:left="360"/>
        <w:jc w:val="both"/>
        <w:rPr>
          <w:rFonts w:ascii="Garamond" w:hAnsi="Garamond" w:cs="Times New Roman"/>
          <w:sz w:val="26"/>
          <w:szCs w:val="26"/>
          <w:lang w:val="en-US"/>
        </w:rPr>
      </w:pPr>
    </w:p>
    <w:p w14:paraId="7AC78578" w14:textId="77777777"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Peran</w:t>
      </w:r>
      <w:proofErr w:type="spellEnd"/>
      <w:r w:rsidRPr="002E4888">
        <w:rPr>
          <w:rFonts w:ascii="Garamond" w:hAnsi="Garamond" w:cs="Times New Roman"/>
          <w:b/>
          <w:bCs/>
          <w:sz w:val="26"/>
          <w:szCs w:val="26"/>
          <w:lang w:val="en-US"/>
        </w:rPr>
        <w:t xml:space="preserve"> D</w:t>
      </w:r>
      <w:r w:rsidRPr="002E4888">
        <w:rPr>
          <w:rFonts w:ascii="Garamond" w:hAnsi="Garamond" w:cs="Times New Roman"/>
          <w:b/>
          <w:bCs/>
          <w:sz w:val="26"/>
          <w:szCs w:val="26"/>
          <w:lang w:val="en-US"/>
        </w:rPr>
        <w:tab/>
      </w:r>
      <w:proofErr w:type="spellStart"/>
      <w:r w:rsidRPr="002E4888">
        <w:rPr>
          <w:rFonts w:ascii="Garamond" w:hAnsi="Garamond" w:cs="Times New Roman"/>
          <w:b/>
          <w:bCs/>
          <w:sz w:val="26"/>
          <w:szCs w:val="26"/>
          <w:lang w:val="en-US"/>
        </w:rPr>
        <w:t>osen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sebagai</w:t>
      </w:r>
      <w:proofErr w:type="spellEnd"/>
      <w:r w:rsidRPr="002E4888">
        <w:rPr>
          <w:rFonts w:ascii="Garamond" w:hAnsi="Garamond" w:cs="Times New Roman"/>
          <w:b/>
          <w:bCs/>
          <w:sz w:val="26"/>
          <w:szCs w:val="26"/>
          <w:lang w:val="en-US"/>
        </w:rPr>
        <w:t xml:space="preserve"> Model Spiritual dan Moral</w:t>
      </w:r>
    </w:p>
    <w:p w14:paraId="53583FFC"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Internalisasi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sangat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dipengaruhi</w:t>
      </w:r>
      <w:proofErr w:type="spellEnd"/>
      <w:r w:rsidRPr="002E4888">
        <w:rPr>
          <w:rFonts w:ascii="Garamond" w:hAnsi="Garamond" w:cs="Times New Roman"/>
          <w:sz w:val="26"/>
          <w:szCs w:val="26"/>
          <w:lang w:val="en-US"/>
        </w:rPr>
        <w:t xml:space="preserve"> oleh </w:t>
      </w:r>
      <w:proofErr w:type="spellStart"/>
      <w:r w:rsidRPr="002E4888">
        <w:rPr>
          <w:rFonts w:ascii="Garamond" w:hAnsi="Garamond" w:cs="Times New Roman"/>
          <w:sz w:val="26"/>
          <w:szCs w:val="26"/>
          <w:lang w:val="en-US"/>
        </w:rPr>
        <w:t>keteladanan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dosen</w:t>
      </w:r>
      <w:proofErr w:type="spellEnd"/>
      <w:r w:rsidRPr="002E4888">
        <w:rPr>
          <w:rFonts w:ascii="Garamond" w:hAnsi="Garamond" w:cs="Times New Roman"/>
          <w:sz w:val="26"/>
          <w:szCs w:val="26"/>
          <w:lang w:val="en-US"/>
        </w:rPr>
        <w:t>. Al-</w:t>
      </w:r>
      <w:proofErr w:type="spellStart"/>
      <w:r w:rsidRPr="002E4888">
        <w:rPr>
          <w:rFonts w:ascii="Garamond" w:hAnsi="Garamond" w:cs="Times New Roman"/>
          <w:sz w:val="26"/>
          <w:szCs w:val="26"/>
          <w:lang w:val="en-US"/>
        </w:rPr>
        <w:t>Attas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menekankan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pendidikan</w:t>
      </w:r>
      <w:proofErr w:type="spellEnd"/>
      <w:r w:rsidRPr="002E4888">
        <w:rPr>
          <w:rFonts w:ascii="Garamond" w:hAnsi="Garamond" w:cs="Times New Roman"/>
          <w:sz w:val="26"/>
          <w:szCs w:val="26"/>
          <w:lang w:val="en-US"/>
        </w:rPr>
        <w:t xml:space="preserve"> Islam, </w:t>
      </w:r>
      <w:proofErr w:type="spellStart"/>
      <w:r w:rsidRPr="002E4888">
        <w:rPr>
          <w:rFonts w:ascii="Garamond" w:hAnsi="Garamond" w:cs="Times New Roman"/>
          <w:sz w:val="26"/>
          <w:szCs w:val="26"/>
          <w:lang w:val="en-US"/>
        </w:rPr>
        <w:t>pendidik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penyampai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ilmu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figur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teladan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atau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uswah</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8"/>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dosen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mengajar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tentang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tazkiyah</w:t>
      </w:r>
      <w:proofErr w:type="spellEnd"/>
      <w:r w:rsidRPr="002E4888">
        <w:rPr>
          <w:rFonts w:ascii="Garamond" w:hAnsi="Garamond" w:cs="Times New Roman"/>
          <w:sz w:val="26"/>
          <w:szCs w:val="26"/>
          <w:lang w:val="en-US"/>
        </w:rPr>
        <w:t xml:space="preserve"> al-</w:t>
      </w:r>
      <w:proofErr w:type="spellStart"/>
      <w:r w:rsidRPr="002E4888">
        <w:rPr>
          <w:rFonts w:ascii="Garamond" w:hAnsi="Garamond" w:cs="Times New Roman"/>
          <w:sz w:val="26"/>
          <w:szCs w:val="26"/>
          <w:lang w:val="en-US"/>
        </w:rPr>
        <w:t>nafs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mahabbah</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etika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sufistik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tetapi</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memperlihatkan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interaksi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akademik</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39"/>
      </w:r>
      <w:r w:rsidRPr="002E4888">
        <w:rPr>
          <w:rFonts w:ascii="Garamond" w:hAnsi="Garamond" w:cs="Times New Roman"/>
          <w:sz w:val="26"/>
          <w:szCs w:val="26"/>
          <w:lang w:val="en-US"/>
        </w:rPr>
        <w:t xml:space="preserve"> Di STIT Balikpapan, </w:t>
      </w:r>
      <w:proofErr w:type="spellStart"/>
      <w:r w:rsidRPr="002E4888">
        <w:rPr>
          <w:rFonts w:ascii="Garamond" w:hAnsi="Garamond" w:cs="Times New Roman"/>
          <w:sz w:val="26"/>
          <w:szCs w:val="26"/>
          <w:lang w:val="en-US"/>
        </w:rPr>
        <w:t>dosen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berupaya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menghidupkan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suasana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inspiratif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pendekatan</w:t>
      </w:r>
      <w:proofErr w:type="spellEnd"/>
      <w:r w:rsidRPr="002E4888">
        <w:rPr>
          <w:rFonts w:ascii="Garamond" w:hAnsi="Garamond" w:cs="Times New Roman"/>
          <w:sz w:val="26"/>
          <w:szCs w:val="26"/>
          <w:lang w:val="en-US"/>
        </w:rPr>
        <w:t xml:space="preserve"> spiritual,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sederhana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kepekaan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0"/>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Upaya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membantu</w:t>
      </w:r>
      <w:proofErr w:type="spellEnd"/>
      <w:r w:rsidRPr="002E4888">
        <w:rPr>
          <w:rFonts w:ascii="Garamond" w:hAnsi="Garamond" w:cs="Times New Roman"/>
          <w:sz w:val="26"/>
          <w:szCs w:val="26"/>
          <w:lang w:val="en-US"/>
        </w:rPr>
        <w:t xml:space="preserve"> proses </w:t>
      </w:r>
      <w:proofErr w:type="spellStart"/>
      <w:r w:rsidRPr="002E4888">
        <w:rPr>
          <w:rFonts w:ascii="Garamond" w:hAnsi="Garamond" w:cs="Times New Roman"/>
          <w:sz w:val="26"/>
          <w:szCs w:val="26"/>
          <w:lang w:val="en-US"/>
        </w:rPr>
        <w:t>transformasi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kepribadian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lebih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religius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santun</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w:t>
      </w:r>
    </w:p>
    <w:p w14:paraId="7B9B75E5"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rPr>
        <w:t>Mayoritas mahasiswa menilai bahwa dosen menjadi figur penting dalam memperlihatkan praktik tasawuf. Sikap sabar, empati, dan kerendahan hati yang ditunjukkan sebagian dosen dianggap sebagai contoh nyata nilai tasawuf. Namun, ada juga mahasiswa yang merasa bahwa keteladanan tersebut belum konsisten, karena dalam beberapa situasi nilai-nilai tasawuf hanya disampaikan sebagai materi akademik tanpa dukungan praktik yang kuat dalam keseharian.</w:t>
      </w:r>
      <w:r w:rsidRPr="002E4888">
        <w:rPr>
          <w:rStyle w:val="FootnoteReference"/>
          <w:rFonts w:ascii="Garamond" w:hAnsi="Garamond" w:cs="Times New Roman"/>
          <w:sz w:val="26"/>
          <w:szCs w:val="26"/>
        </w:rPr>
        <w:footnoteReference w:id="41"/>
      </w:r>
    </w:p>
    <w:p w14:paraId="1606B9BF" w14:textId="77777777" w:rsidR="002E4888" w:rsidRPr="002E4888" w:rsidRDefault="002E4888" w:rsidP="002E4888">
      <w:pPr>
        <w:pStyle w:val="ListParagraph"/>
        <w:ind w:left="360"/>
        <w:jc w:val="both"/>
        <w:rPr>
          <w:rFonts w:ascii="Garamond" w:hAnsi="Garamond" w:cs="Times New Roman"/>
          <w:sz w:val="26"/>
          <w:szCs w:val="26"/>
          <w:lang w:val="en-US"/>
        </w:rPr>
      </w:pPr>
    </w:p>
    <w:p w14:paraId="1B108910" w14:textId="77777777"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Internalisasi</w:t>
      </w:r>
      <w:proofErr w:type="spellEnd"/>
      <w:r w:rsidRPr="002E4888">
        <w:rPr>
          <w:rFonts w:ascii="Garamond" w:hAnsi="Garamond" w:cs="Times New Roman"/>
          <w:b/>
          <w:bCs/>
          <w:sz w:val="26"/>
          <w:szCs w:val="26"/>
          <w:lang w:val="en-US"/>
        </w:rPr>
        <w:t xml:space="preserve"> Nilai </w:t>
      </w:r>
      <w:proofErr w:type="spellStart"/>
      <w:r w:rsidRPr="002E4888">
        <w:rPr>
          <w:rFonts w:ascii="Garamond" w:hAnsi="Garamond" w:cs="Times New Roman"/>
          <w:b/>
          <w:bCs/>
          <w:sz w:val="26"/>
          <w:szCs w:val="26"/>
          <w:lang w:val="en-US"/>
        </w:rPr>
        <w:t>Tasawuf</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dalam</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Kehidupan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Sosial</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Kampus</w:t>
      </w:r>
      <w:proofErr w:type="spellEnd"/>
    </w:p>
    <w:p w14:paraId="6466F8E3"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Nilai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tidak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berhenti</w:t>
      </w:r>
      <w:proofErr w:type="spellEnd"/>
      <w:r w:rsidRPr="002E4888">
        <w:rPr>
          <w:rFonts w:ascii="Garamond" w:hAnsi="Garamond" w:cs="Times New Roman"/>
          <w:sz w:val="26"/>
          <w:szCs w:val="26"/>
          <w:lang w:val="en-US"/>
        </w:rPr>
        <w:t xml:space="preserve"> pada </w:t>
      </w:r>
      <w:proofErr w:type="spellStart"/>
      <w:r w:rsidRPr="002E4888">
        <w:rPr>
          <w:rFonts w:ascii="Garamond" w:hAnsi="Garamond" w:cs="Times New Roman"/>
          <w:sz w:val="26"/>
          <w:szCs w:val="26"/>
          <w:lang w:val="en-US"/>
        </w:rPr>
        <w:t>ruang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kelas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melainkan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tercermin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aktivitas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kehidupan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memahami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biasanya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menunjukkan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peduli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suka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menghargai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pendapat</w:t>
      </w:r>
      <w:proofErr w:type="spellEnd"/>
      <w:r w:rsidRPr="002E4888">
        <w:rPr>
          <w:rFonts w:ascii="Garamond" w:hAnsi="Garamond" w:cs="Times New Roman"/>
          <w:sz w:val="26"/>
          <w:szCs w:val="26"/>
          <w:lang w:val="en-US"/>
        </w:rPr>
        <w:t xml:space="preserve"> orang lain, dan </w:t>
      </w:r>
      <w:proofErr w:type="spellStart"/>
      <w:r w:rsidRPr="002E4888">
        <w:rPr>
          <w:rFonts w:ascii="Garamond" w:hAnsi="Garamond" w:cs="Times New Roman"/>
          <w:sz w:val="26"/>
          <w:szCs w:val="26"/>
          <w:lang w:val="en-US"/>
        </w:rPr>
        <w:t>mampu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bekerja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sama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organisasi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2"/>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terbiasa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adab</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menyebarkan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ramah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menjunjung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saling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menghormati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3"/>
      </w:r>
      <w:r w:rsidRPr="002E4888">
        <w:rPr>
          <w:rFonts w:ascii="Garamond" w:hAnsi="Garamond" w:cs="Times New Roman"/>
          <w:sz w:val="26"/>
          <w:szCs w:val="26"/>
          <w:lang w:val="en-US"/>
        </w:rPr>
        <w:t xml:space="preserve"> Banyak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mengakui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mengendalikan</w:t>
      </w:r>
      <w:proofErr w:type="spellEnd"/>
      <w:r w:rsidRPr="002E4888">
        <w:rPr>
          <w:rFonts w:ascii="Garamond" w:hAnsi="Garamond" w:cs="Times New Roman"/>
          <w:sz w:val="26"/>
          <w:szCs w:val="26"/>
          <w:lang w:val="en-US"/>
        </w:rPr>
        <w:t xml:space="preserve"> ego, </w:t>
      </w:r>
      <w:proofErr w:type="spellStart"/>
      <w:r w:rsidRPr="002E4888">
        <w:rPr>
          <w:rFonts w:ascii="Garamond" w:hAnsi="Garamond" w:cs="Times New Roman"/>
          <w:sz w:val="26"/>
          <w:szCs w:val="26"/>
          <w:lang w:val="en-US"/>
        </w:rPr>
        <w:t>bersikap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lebih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sabar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konflik</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lebih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teman</w:t>
      </w:r>
      <w:proofErr w:type="spellEnd"/>
      <w:r w:rsidRPr="002E4888">
        <w:rPr>
          <w:rFonts w:ascii="Garamond" w:hAnsi="Garamond" w:cs="Times New Roman"/>
          <w:sz w:val="26"/>
          <w:szCs w:val="26"/>
          <w:lang w:val="en-US"/>
        </w:rPr>
        <w:t xml:space="preserve"> </w:t>
      </w:r>
      <w:r w:rsidRPr="002E4888">
        <w:rPr>
          <w:rFonts w:ascii="Garamond" w:hAnsi="Garamond" w:cs="Times New Roman"/>
          <w:sz w:val="26"/>
          <w:szCs w:val="26"/>
          <w:lang w:val="en-US"/>
        </w:rPr>
        <w:lastRenderedPageBreak/>
        <w:t xml:space="preserve">yang </w:t>
      </w:r>
      <w:proofErr w:type="spellStart"/>
      <w:r w:rsidRPr="002E4888">
        <w:rPr>
          <w:rFonts w:ascii="Garamond" w:hAnsi="Garamond" w:cs="Times New Roman"/>
          <w:sz w:val="26"/>
          <w:szCs w:val="26"/>
          <w:lang w:val="en-US"/>
        </w:rPr>
        <w:t>mengalami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kesulitan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4"/>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tersebut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merupakan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manifestasi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sufistik</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menempatkan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cinta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kasih</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persaudaraan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sebagai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dasar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hubungan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5"/>
      </w:r>
    </w:p>
    <w:p w14:paraId="5D6700A4"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menyediakan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sarana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pembinaan</w:t>
      </w:r>
      <w:proofErr w:type="spellEnd"/>
      <w:r w:rsidRPr="002E4888">
        <w:rPr>
          <w:rFonts w:ascii="Garamond" w:hAnsi="Garamond" w:cs="Times New Roman"/>
          <w:sz w:val="26"/>
          <w:szCs w:val="26"/>
          <w:lang w:val="en-US"/>
        </w:rPr>
        <w:t xml:space="preserve"> spiritual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kajian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mentoring </w:t>
      </w:r>
      <w:proofErr w:type="spellStart"/>
      <w:r w:rsidRPr="002E4888">
        <w:rPr>
          <w:rFonts w:ascii="Garamond" w:hAnsi="Garamond" w:cs="Times New Roman"/>
          <w:sz w:val="26"/>
          <w:szCs w:val="26"/>
          <w:lang w:val="en-US"/>
        </w:rPr>
        <w:t>keagamaan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kegiatan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mendukung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pembentukan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karakter</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6"/>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Aktivitas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ruang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mempraktikkan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zikir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muhasabah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serta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membangun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solidaritas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kerendahan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hati</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7"/>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demikian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kampus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lingkungan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selaras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yaitu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bermanfaat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bagi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sesama</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48"/>
      </w:r>
    </w:p>
    <w:p w14:paraId="53908E29" w14:textId="77777777" w:rsidR="002E4888" w:rsidRPr="002E4888" w:rsidRDefault="002E4888" w:rsidP="002E4888">
      <w:pPr>
        <w:pStyle w:val="ListParagraph"/>
        <w:ind w:left="0" w:firstLine="720"/>
        <w:jc w:val="both"/>
        <w:rPr>
          <w:rFonts w:ascii="Garamond" w:hAnsi="Garamond" w:cs="Times New Roman"/>
          <w:sz w:val="26"/>
          <w:szCs w:val="26"/>
        </w:rPr>
      </w:pPr>
      <w:r w:rsidRPr="002E4888">
        <w:rPr>
          <w:rFonts w:ascii="Garamond" w:hAnsi="Garamond" w:cs="Times New Roman"/>
          <w:sz w:val="26"/>
          <w:szCs w:val="26"/>
        </w:rPr>
        <w:t>Pandangan mahasiswa mengenai penerapan tasawuf dalam kegiatan kampus cukup beragam. Banyak responden menyebut bahwa nilai tasawuf terlihat dalam berbagai kegiatan keagamaan, seperti Maulid Nabi, khataman Qur’an, mentoring rohani, dan kajian rutin. Kegiatan-kegiatan ini dianggap menjadi ruang bagi mahasiswa untuk belajar dan mempraktikkan nilai-nilai spiritual secara langsung. Namun, sebagian mahasiswa menilai bahwa penerapannya belum merata dan hanya terlihat pada kegiatan tertentu, sehingga belum sepenuhnya menjadi budaya bersama di kampus.</w:t>
      </w:r>
      <w:r w:rsidRPr="002E4888">
        <w:rPr>
          <w:rStyle w:val="FootnoteReference"/>
          <w:rFonts w:ascii="Garamond" w:hAnsi="Garamond" w:cs="Times New Roman"/>
          <w:sz w:val="26"/>
          <w:szCs w:val="26"/>
        </w:rPr>
        <w:footnoteReference w:id="49"/>
      </w:r>
    </w:p>
    <w:p w14:paraId="6BAA9B06" w14:textId="77777777" w:rsidR="002E4888" w:rsidRPr="002E4888" w:rsidRDefault="002E4888" w:rsidP="002E4888">
      <w:pPr>
        <w:pStyle w:val="ListParagraph"/>
        <w:ind w:left="360"/>
        <w:jc w:val="both"/>
        <w:rPr>
          <w:rFonts w:ascii="Garamond" w:hAnsi="Garamond" w:cs="Times New Roman"/>
          <w:sz w:val="26"/>
          <w:szCs w:val="26"/>
          <w:lang w:val="en-US"/>
        </w:rPr>
      </w:pPr>
    </w:p>
    <w:p w14:paraId="0B0A371C" w14:textId="77777777"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Tasawuf</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sebagai</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Fondasi</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Moderasi</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Beragama</w:t>
      </w:r>
      <w:proofErr w:type="spellEnd"/>
      <w:r w:rsidRPr="002E4888">
        <w:rPr>
          <w:rFonts w:ascii="Garamond" w:hAnsi="Garamond" w:cs="Times New Roman"/>
          <w:b/>
          <w:bCs/>
          <w:sz w:val="26"/>
          <w:szCs w:val="26"/>
          <w:lang w:val="en-US"/>
        </w:rPr>
        <w:t xml:space="preserve"> dan </w:t>
      </w:r>
      <w:proofErr w:type="spellStart"/>
      <w:r w:rsidRPr="002E4888">
        <w:rPr>
          <w:rFonts w:ascii="Garamond" w:hAnsi="Garamond" w:cs="Times New Roman"/>
          <w:b/>
          <w:bCs/>
          <w:sz w:val="26"/>
          <w:szCs w:val="26"/>
          <w:lang w:val="en-US"/>
        </w:rPr>
        <w:t>Kehidupan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Multikultural</w:t>
      </w:r>
      <w:proofErr w:type="spellEnd"/>
    </w:p>
    <w:p w14:paraId="21F0DF73" w14:textId="77777777" w:rsidR="002E4888" w:rsidRPr="002E4888" w:rsidRDefault="002E4888" w:rsidP="002E4888">
      <w:pPr>
        <w:pStyle w:val="ListParagraph"/>
        <w:ind w:left="0" w:firstLine="720"/>
        <w:jc w:val="both"/>
        <w:rPr>
          <w:rFonts w:ascii="Garamond" w:hAnsi="Garamond" w:cs="Times New Roman"/>
          <w:sz w:val="26"/>
          <w:szCs w:val="26"/>
          <w:lang w:val="en-US"/>
        </w:rPr>
      </w:pP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konteks</w:t>
      </w:r>
      <w:proofErr w:type="spellEnd"/>
      <w:r w:rsidRPr="002E4888">
        <w:rPr>
          <w:rFonts w:ascii="Garamond" w:hAnsi="Garamond" w:cs="Times New Roman"/>
          <w:sz w:val="26"/>
          <w:szCs w:val="26"/>
          <w:lang w:val="en-US"/>
        </w:rPr>
        <w:t xml:space="preserve"> global yang </w:t>
      </w:r>
      <w:proofErr w:type="spellStart"/>
      <w:r w:rsidRPr="002E4888">
        <w:rPr>
          <w:rFonts w:ascii="Garamond" w:hAnsi="Garamond" w:cs="Times New Roman"/>
          <w:sz w:val="26"/>
          <w:szCs w:val="26"/>
          <w:lang w:val="en-US"/>
        </w:rPr>
        <w:t>diwarnai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perbedaan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budaya</w:t>
      </w:r>
      <w:proofErr w:type="spellEnd"/>
      <w:r w:rsidRPr="002E4888">
        <w:rPr>
          <w:rFonts w:ascii="Garamond" w:hAnsi="Garamond" w:cs="Times New Roman"/>
          <w:sz w:val="26"/>
          <w:szCs w:val="26"/>
          <w:lang w:val="en-US"/>
        </w:rPr>
        <w:t xml:space="preserve"> dan agama,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memberikan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landasan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membangun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moderat</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toleran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Melalui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cinta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kasih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pengendalian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diri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kesadaran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kemanusiaan</w:t>
      </w:r>
      <w:proofErr w:type="spellEnd"/>
      <w:r w:rsidRPr="002E4888">
        <w:rPr>
          <w:rFonts w:ascii="Garamond" w:hAnsi="Garamond" w:cs="Times New Roman"/>
          <w:sz w:val="26"/>
          <w:szCs w:val="26"/>
          <w:lang w:val="en-US"/>
        </w:rPr>
        <w:t xml:space="preserve"> universal,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benteng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ekstremisme</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sikap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intoleran</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0"/>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Azyumardi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Azra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menegaskan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tradisi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telah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mewarnai</w:t>
      </w:r>
      <w:proofErr w:type="spellEnd"/>
      <w:r w:rsidRPr="002E4888">
        <w:rPr>
          <w:rFonts w:ascii="Garamond" w:hAnsi="Garamond" w:cs="Times New Roman"/>
          <w:sz w:val="26"/>
          <w:szCs w:val="26"/>
          <w:lang w:val="en-US"/>
        </w:rPr>
        <w:t xml:space="preserve"> Islam Nusantara </w:t>
      </w:r>
      <w:proofErr w:type="spellStart"/>
      <w:r w:rsidRPr="002E4888">
        <w:rPr>
          <w:rFonts w:ascii="Garamond" w:hAnsi="Garamond" w:cs="Times New Roman"/>
          <w:sz w:val="26"/>
          <w:szCs w:val="26"/>
          <w:lang w:val="en-US"/>
        </w:rPr>
        <w:t>sehingga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inklusif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ramah</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berorientasi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1"/>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mempelajari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memahami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ibadah</w:t>
      </w:r>
      <w:proofErr w:type="spellEnd"/>
      <w:r w:rsidRPr="002E4888">
        <w:rPr>
          <w:rFonts w:ascii="Garamond" w:hAnsi="Garamond" w:cs="Times New Roman"/>
          <w:sz w:val="26"/>
          <w:szCs w:val="26"/>
          <w:lang w:val="en-US"/>
        </w:rPr>
        <w:t xml:space="preserve"> dan ritual </w:t>
      </w:r>
      <w:proofErr w:type="spellStart"/>
      <w:r w:rsidRPr="002E4888">
        <w:rPr>
          <w:rFonts w:ascii="Garamond" w:hAnsi="Garamond" w:cs="Times New Roman"/>
          <w:sz w:val="26"/>
          <w:szCs w:val="26"/>
          <w:lang w:val="en-US"/>
        </w:rPr>
        <w:t>keagamaan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harus</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diwujudkan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tanggung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jawab</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menciptakan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harmoni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dalam</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majemuk</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2"/>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demikian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lastRenderedPageBreak/>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berperan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mencetak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generasi</w:t>
      </w:r>
      <w:proofErr w:type="spellEnd"/>
      <w:r w:rsidRPr="002E4888">
        <w:rPr>
          <w:rFonts w:ascii="Garamond" w:hAnsi="Garamond" w:cs="Times New Roman"/>
          <w:sz w:val="26"/>
          <w:szCs w:val="26"/>
          <w:lang w:val="en-US"/>
        </w:rPr>
        <w:t xml:space="preserve"> Muslim yang </w:t>
      </w:r>
      <w:proofErr w:type="spellStart"/>
      <w:r w:rsidRPr="002E4888">
        <w:rPr>
          <w:rFonts w:ascii="Garamond" w:hAnsi="Garamond" w:cs="Times New Roman"/>
          <w:sz w:val="26"/>
          <w:szCs w:val="26"/>
          <w:lang w:val="en-US"/>
        </w:rPr>
        <w:t>moderat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berwawasan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luas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tetap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berpegang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teguh</w:t>
      </w:r>
      <w:proofErr w:type="spellEnd"/>
      <w:r w:rsidRPr="002E4888">
        <w:rPr>
          <w:rFonts w:ascii="Garamond" w:hAnsi="Garamond" w:cs="Times New Roman"/>
          <w:sz w:val="26"/>
          <w:szCs w:val="26"/>
          <w:lang w:val="en-US"/>
        </w:rPr>
        <w:t xml:space="preserve"> pada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spiritualitas</w:t>
      </w:r>
      <w:proofErr w:type="spellEnd"/>
      <w:r w:rsidRPr="002E4888">
        <w:rPr>
          <w:rFonts w:ascii="Garamond" w:hAnsi="Garamond" w:cs="Times New Roman"/>
          <w:sz w:val="26"/>
          <w:szCs w:val="26"/>
          <w:lang w:val="en-US"/>
        </w:rPr>
        <w:t xml:space="preserve"> Islam.</w:t>
      </w:r>
      <w:r w:rsidRPr="002E4888">
        <w:rPr>
          <w:rStyle w:val="FootnoteReference"/>
          <w:rFonts w:ascii="Garamond" w:hAnsi="Garamond" w:cs="Times New Roman"/>
          <w:sz w:val="26"/>
          <w:szCs w:val="26"/>
          <w:lang w:val="en-US"/>
        </w:rPr>
        <w:footnoteReference w:id="53"/>
      </w:r>
    </w:p>
    <w:p w14:paraId="30B9140C"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rPr>
        <w:t>Beberapa nilai sufistik muncul sebagai nilai yang paling dirasakan manfaatnya oleh mahasiswa. Di antaranya adalah ikhlas, sabar, tawadhu’, mahabbah, zuhud, dan tasamuh. Nilai-nilai tersebut dianggap sangat membantu dalam membangun karakter sosial, termasuk cara berinteraksi, merespons masalah, dan menjaga hubungan dengan orang lain. Mahasiswa menilai bahwa nilai-nilai sufistik inilah yang paling nyata membentuk kepribadian mereka selama menjalani perkuliahan.</w:t>
      </w:r>
      <w:r w:rsidRPr="002E4888">
        <w:rPr>
          <w:rStyle w:val="FootnoteReference"/>
          <w:rFonts w:ascii="Garamond" w:hAnsi="Garamond" w:cs="Times New Roman"/>
          <w:sz w:val="26"/>
          <w:szCs w:val="26"/>
        </w:rPr>
        <w:footnoteReference w:id="54"/>
      </w:r>
    </w:p>
    <w:p w14:paraId="4742DEF6" w14:textId="77777777" w:rsidR="002E4888" w:rsidRPr="002E4888" w:rsidRDefault="002E4888" w:rsidP="002E4888">
      <w:pPr>
        <w:pStyle w:val="ListParagraph"/>
        <w:ind w:left="360"/>
        <w:jc w:val="both"/>
        <w:rPr>
          <w:rFonts w:ascii="Garamond" w:hAnsi="Garamond" w:cs="Times New Roman"/>
          <w:sz w:val="26"/>
          <w:szCs w:val="26"/>
          <w:lang w:val="en-US"/>
        </w:rPr>
      </w:pPr>
    </w:p>
    <w:p w14:paraId="6B704B99" w14:textId="77777777" w:rsidR="002E4888" w:rsidRPr="002E4888" w:rsidRDefault="002E4888" w:rsidP="002E4888">
      <w:pPr>
        <w:pStyle w:val="ListParagraph"/>
        <w:numPr>
          <w:ilvl w:val="0"/>
          <w:numId w:val="15"/>
        </w:numPr>
        <w:jc w:val="both"/>
        <w:rPr>
          <w:rFonts w:ascii="Garamond" w:hAnsi="Garamond" w:cs="Times New Roman"/>
          <w:b/>
          <w:bCs/>
          <w:sz w:val="26"/>
          <w:szCs w:val="26"/>
          <w:lang w:val="en-US"/>
        </w:rPr>
      </w:pPr>
      <w:proofErr w:type="spellStart"/>
      <w:r w:rsidRPr="002E4888">
        <w:rPr>
          <w:rFonts w:ascii="Garamond" w:hAnsi="Garamond" w:cs="Times New Roman"/>
          <w:b/>
          <w:bCs/>
          <w:sz w:val="26"/>
          <w:szCs w:val="26"/>
          <w:lang w:val="en-US"/>
        </w:rPr>
        <w:t>Dampak</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Tasawuf</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terhadap</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Kematangan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Kepribadian</w:t>
      </w:r>
      <w:proofErr w:type="spellEnd"/>
      <w:r w:rsidRPr="002E4888">
        <w:rPr>
          <w:rFonts w:ascii="Garamond" w:hAnsi="Garamond" w:cs="Times New Roman"/>
          <w:b/>
          <w:bCs/>
          <w:sz w:val="26"/>
          <w:szCs w:val="26"/>
          <w:lang w:val="en-US"/>
        </w:rPr>
        <w:t xml:space="preserve"> </w:t>
      </w:r>
      <w:proofErr w:type="spellStart"/>
      <w:r w:rsidRPr="002E4888">
        <w:rPr>
          <w:rFonts w:ascii="Garamond" w:hAnsi="Garamond" w:cs="Times New Roman"/>
          <w:b/>
          <w:bCs/>
          <w:sz w:val="26"/>
          <w:szCs w:val="26"/>
          <w:lang w:val="en-US"/>
        </w:rPr>
        <w:t>Mahasiswa</w:t>
      </w:r>
      <w:proofErr w:type="spellEnd"/>
    </w:p>
    <w:p w14:paraId="4E110A51" w14:textId="77777777" w:rsidR="002E4888" w:rsidRPr="002E4888" w:rsidRDefault="002E4888" w:rsidP="002E4888">
      <w:pPr>
        <w:pStyle w:val="ListParagraph"/>
        <w:ind w:left="0" w:firstLine="720"/>
        <w:jc w:val="both"/>
        <w:rPr>
          <w:rFonts w:ascii="Garamond" w:hAnsi="Garamond" w:cs="Times New Roman"/>
          <w:sz w:val="26"/>
          <w:szCs w:val="26"/>
          <w:lang w:val="en-US"/>
        </w:rPr>
      </w:pPr>
      <w:r w:rsidRPr="002E4888">
        <w:rPr>
          <w:rFonts w:ascii="Garamond" w:hAnsi="Garamond" w:cs="Times New Roman"/>
          <w:sz w:val="26"/>
          <w:szCs w:val="26"/>
          <w:lang w:val="en-US"/>
        </w:rPr>
        <w:t xml:space="preserve">Hasil </w:t>
      </w:r>
      <w:proofErr w:type="spellStart"/>
      <w:r w:rsidRPr="002E4888">
        <w:rPr>
          <w:rFonts w:ascii="Garamond" w:hAnsi="Garamond" w:cs="Times New Roman"/>
          <w:sz w:val="26"/>
          <w:szCs w:val="26"/>
          <w:lang w:val="en-US"/>
        </w:rPr>
        <w:t>observasi</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wawancara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STIT Balikpapan </w:t>
      </w:r>
      <w:proofErr w:type="spellStart"/>
      <w:r w:rsidRPr="002E4888">
        <w:rPr>
          <w:rFonts w:ascii="Garamond" w:hAnsi="Garamond" w:cs="Times New Roman"/>
          <w:sz w:val="26"/>
          <w:szCs w:val="26"/>
          <w:lang w:val="en-US"/>
        </w:rPr>
        <w:t>menunjukkan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bahwa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mengikuti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mata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kuliah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tingkat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kedewasaan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lebih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bertanggung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jawab</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memiliki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komitmen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kuat</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terhadap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nilai</w:t>
      </w:r>
      <w:proofErr w:type="spellEnd"/>
      <w:r w:rsidRPr="002E4888">
        <w:rPr>
          <w:rFonts w:ascii="Garamond" w:hAnsi="Garamond" w:cs="Times New Roman"/>
          <w:sz w:val="26"/>
          <w:szCs w:val="26"/>
          <w:lang w:val="en-US"/>
        </w:rPr>
        <w:t xml:space="preserve"> moral.</w:t>
      </w:r>
      <w:r w:rsidRPr="002E4888">
        <w:rPr>
          <w:rStyle w:val="FootnoteReference"/>
          <w:rFonts w:ascii="Garamond" w:hAnsi="Garamond" w:cs="Times New Roman"/>
          <w:sz w:val="26"/>
          <w:szCs w:val="26"/>
          <w:lang w:val="en-US"/>
        </w:rPr>
        <w:footnoteReference w:id="55"/>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Mereka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cenderung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menghindari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perilaku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negatif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seperti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perundungan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pergaulan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bebas</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konflik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sosial</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6"/>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juga </w:t>
      </w:r>
      <w:proofErr w:type="spellStart"/>
      <w:r w:rsidRPr="002E4888">
        <w:rPr>
          <w:rFonts w:ascii="Garamond" w:hAnsi="Garamond" w:cs="Times New Roman"/>
          <w:sz w:val="26"/>
          <w:szCs w:val="26"/>
          <w:lang w:val="en-US"/>
        </w:rPr>
        <w:t>membantu</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mahasiswa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menemukan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ketenangan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batin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makna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hidup</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dorongan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untuk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belajar</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niat</w:t>
      </w:r>
      <w:proofErr w:type="spellEnd"/>
      <w:r w:rsidRPr="002E4888">
        <w:rPr>
          <w:rFonts w:ascii="Garamond" w:hAnsi="Garamond" w:cs="Times New Roman"/>
          <w:sz w:val="26"/>
          <w:szCs w:val="26"/>
          <w:lang w:val="en-US"/>
        </w:rPr>
        <w:t xml:space="preserve"> yang </w:t>
      </w:r>
      <w:proofErr w:type="spellStart"/>
      <w:r w:rsidRPr="002E4888">
        <w:rPr>
          <w:rFonts w:ascii="Garamond" w:hAnsi="Garamond" w:cs="Times New Roman"/>
          <w:sz w:val="26"/>
          <w:szCs w:val="26"/>
          <w:lang w:val="en-US"/>
        </w:rPr>
        <w:t>tulus</w:t>
      </w:r>
      <w:proofErr w:type="spellEnd"/>
      <w:r w:rsidRPr="002E4888">
        <w:rPr>
          <w:rFonts w:ascii="Garamond" w:hAnsi="Garamond" w:cs="Times New Roman"/>
          <w:sz w:val="26"/>
          <w:szCs w:val="26"/>
          <w:lang w:val="en-US"/>
        </w:rPr>
        <w:t xml:space="preserve"> demi </w:t>
      </w:r>
      <w:proofErr w:type="spellStart"/>
      <w:r w:rsidRPr="002E4888">
        <w:rPr>
          <w:rFonts w:ascii="Garamond" w:hAnsi="Garamond" w:cs="Times New Roman"/>
          <w:sz w:val="26"/>
          <w:szCs w:val="26"/>
          <w:lang w:val="en-US"/>
        </w:rPr>
        <w:t>kemaslahatan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umat</w:t>
      </w:r>
      <w:proofErr w:type="spellEnd"/>
      <w:r w:rsidRPr="002E4888">
        <w:rPr>
          <w:rFonts w:ascii="Garamond" w:hAnsi="Garamond" w:cs="Times New Roman"/>
          <w:sz w:val="26"/>
          <w:szCs w:val="26"/>
          <w:lang w:val="en-US"/>
        </w:rPr>
        <w:t>.</w:t>
      </w:r>
      <w:r w:rsidRPr="002E4888">
        <w:rPr>
          <w:rStyle w:val="FootnoteReference"/>
          <w:rFonts w:ascii="Garamond" w:hAnsi="Garamond" w:cs="Times New Roman"/>
          <w:sz w:val="26"/>
          <w:szCs w:val="26"/>
          <w:lang w:val="en-US"/>
        </w:rPr>
        <w:footnoteReference w:id="57"/>
      </w:r>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Dengan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demikian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pembelajaran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tasawuf</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berkontribusi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mencetak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pribadi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berakhlak</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mulia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matang</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secara</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emosional</w:t>
      </w:r>
      <w:proofErr w:type="spellEnd"/>
      <w:r w:rsidRPr="002E4888">
        <w:rPr>
          <w:rFonts w:ascii="Garamond" w:hAnsi="Garamond" w:cs="Times New Roman"/>
          <w:sz w:val="26"/>
          <w:szCs w:val="26"/>
          <w:lang w:val="en-US"/>
        </w:rPr>
        <w:t xml:space="preserve">, dan </w:t>
      </w:r>
      <w:proofErr w:type="spellStart"/>
      <w:r w:rsidRPr="002E4888">
        <w:rPr>
          <w:rFonts w:ascii="Garamond" w:hAnsi="Garamond" w:cs="Times New Roman"/>
          <w:sz w:val="26"/>
          <w:szCs w:val="26"/>
          <w:lang w:val="en-US"/>
        </w:rPr>
        <w:t>siap</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menjadi</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agen</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kebaikan</w:t>
      </w:r>
      <w:proofErr w:type="spellEnd"/>
      <w:r w:rsidRPr="002E4888">
        <w:rPr>
          <w:rFonts w:ascii="Garamond" w:hAnsi="Garamond" w:cs="Times New Roman"/>
          <w:sz w:val="26"/>
          <w:szCs w:val="26"/>
          <w:lang w:val="en-US"/>
        </w:rPr>
        <w:t xml:space="preserve"> di </w:t>
      </w:r>
      <w:proofErr w:type="spellStart"/>
      <w:r w:rsidRPr="002E4888">
        <w:rPr>
          <w:rFonts w:ascii="Garamond" w:hAnsi="Garamond" w:cs="Times New Roman"/>
          <w:sz w:val="26"/>
          <w:szCs w:val="26"/>
          <w:lang w:val="en-US"/>
        </w:rPr>
        <w:t>tengah</w:t>
      </w:r>
      <w:proofErr w:type="spellEnd"/>
      <w:r w:rsidRPr="002E4888">
        <w:rPr>
          <w:rFonts w:ascii="Garamond" w:hAnsi="Garamond" w:cs="Times New Roman"/>
          <w:sz w:val="26"/>
          <w:szCs w:val="26"/>
          <w:lang w:val="en-US"/>
        </w:rPr>
        <w:t xml:space="preserve"> </w:t>
      </w:r>
      <w:proofErr w:type="spellStart"/>
      <w:r w:rsidRPr="002E4888">
        <w:rPr>
          <w:rFonts w:ascii="Garamond" w:hAnsi="Garamond" w:cs="Times New Roman"/>
          <w:sz w:val="26"/>
          <w:szCs w:val="26"/>
          <w:lang w:val="en-US"/>
        </w:rPr>
        <w:t>masyarakat</w:t>
      </w:r>
      <w:proofErr w:type="spellEnd"/>
      <w:r w:rsidRPr="002E4888">
        <w:rPr>
          <w:rFonts w:ascii="Garamond" w:hAnsi="Garamond" w:cs="Times New Roman"/>
          <w:sz w:val="26"/>
          <w:szCs w:val="26"/>
          <w:lang w:val="en-US"/>
        </w:rPr>
        <w:t xml:space="preserve"> modern.</w:t>
      </w:r>
      <w:r w:rsidRPr="002E4888">
        <w:rPr>
          <w:rStyle w:val="FootnoteReference"/>
          <w:rFonts w:ascii="Garamond" w:hAnsi="Garamond" w:cs="Times New Roman"/>
          <w:sz w:val="26"/>
          <w:szCs w:val="26"/>
          <w:lang w:val="en-US"/>
        </w:rPr>
        <w:footnoteReference w:id="58"/>
      </w:r>
    </w:p>
    <w:p w14:paraId="7EC5A841" w14:textId="77777777" w:rsidR="002E4888" w:rsidRPr="002E4888" w:rsidRDefault="002E4888" w:rsidP="002E4888">
      <w:pPr>
        <w:pStyle w:val="ListParagraph"/>
        <w:ind w:left="0" w:firstLine="720"/>
        <w:jc w:val="both"/>
        <w:rPr>
          <w:rFonts w:ascii="Garamond" w:hAnsi="Garamond" w:cs="Times New Roman"/>
          <w:sz w:val="26"/>
          <w:szCs w:val="26"/>
        </w:rPr>
      </w:pPr>
      <w:r w:rsidRPr="002E4888">
        <w:rPr>
          <w:rFonts w:ascii="Garamond" w:hAnsi="Garamond" w:cs="Times New Roman"/>
          <w:sz w:val="26"/>
          <w:szCs w:val="26"/>
        </w:rPr>
        <w:t>Mayoritas mahasiswa meyakini bahwa tasawuf tetap memiliki relevansi yang kuat di tengah era modern yang dipenuhi tantangan moral seperti hedonisme, materialisme, dan individualisme. Tasawuf dianggap berfungsi sebagai benteng spiritual yang memperkuat karakter dan mengarahkan mereka untuk tetap memiliki kesadaran moral. Selain itu, tasawuf membantu mahasiswa menjaga keseimbangan emosi dan etika dalam bersosialisasi. Meskipun begitu, beberapa mahasiswa mengakui bahwa penerapan tasawuf mungkin membutuhkan penyesuaian dengan konteks kekinian agar lebih mudah diterapkan dalam kehidupan sehari-hari.</w:t>
      </w:r>
      <w:r w:rsidRPr="002E4888">
        <w:rPr>
          <w:rStyle w:val="FootnoteReference"/>
          <w:rFonts w:ascii="Garamond" w:hAnsi="Garamond" w:cs="Times New Roman"/>
          <w:sz w:val="26"/>
          <w:szCs w:val="26"/>
        </w:rPr>
        <w:footnoteReference w:id="59"/>
      </w:r>
    </w:p>
    <w:p w14:paraId="3D0DEC09" w14:textId="7FD4B5DA" w:rsidR="00FA5CEE" w:rsidRDefault="00FA5CEE"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Garamond" w:hAnsi="Times New Roman" w:cs="Times New Roman"/>
          <w:color w:val="000000"/>
          <w:sz w:val="22"/>
          <w:szCs w:val="22"/>
          <w:lang w:val="en-US"/>
        </w:rPr>
      </w:pPr>
    </w:p>
    <w:p w14:paraId="079AA49B" w14:textId="47E1D0A4" w:rsidR="00B051E7" w:rsidRPr="00FA5CEE"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FA5CEE">
        <w:rPr>
          <w:rFonts w:ascii="Garamond" w:eastAsia="Garamond" w:hAnsi="Garamond" w:cs="Times New Roman"/>
          <w:b/>
          <w:color w:val="000000"/>
          <w:sz w:val="26"/>
          <w:szCs w:val="26"/>
        </w:rPr>
        <w:t xml:space="preserve">KESIMPULAN </w:t>
      </w:r>
    </w:p>
    <w:p w14:paraId="7E0A9D75" w14:textId="2B4DADBF"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lastRenderedPageBreak/>
        <w:t>Pembahasan mengenai peran mata kuliah tasawuf dalam pembentukan karakter sosial mahasiswa di era modern menunjukkan bahwa tasawuf memberi kontribusi besar terhadap perkembangan kepribadian mahasiswa</w:t>
      </w:r>
      <w:r>
        <w:rPr>
          <w:rFonts w:ascii="Gramond" w:hAnsi="Gramond" w:cs="Times New Roman"/>
          <w:sz w:val="26"/>
          <w:szCs w:val="26"/>
        </w:rPr>
        <w:t xml:space="preserve"> </w:t>
      </w:r>
      <w:r w:rsidRPr="00730DC6">
        <w:rPr>
          <w:rFonts w:ascii="Gramond" w:hAnsi="Gramond" w:cs="Times New Roman"/>
          <w:sz w:val="26"/>
          <w:szCs w:val="26"/>
        </w:rPr>
        <w:t>baik dari sisi spiritual, emosional, maupun sosial. Di tengah cepatnya arus globalisasi, digitalisasi, dan perubahan budaya yang sering kali melahirkan sikap individualistis, gaya hidup hedonis, serta merosotnya empati, tasawuf hadir sebagai landasan moral dan spiritual yang membantu mahasiswa membentuk kepribadian yang lebih beradab, peka terhadap lingkungan sosial, dan bertanggung jawab dalam kesehariannya.</w:t>
      </w:r>
    </w:p>
    <w:p w14:paraId="78479586" w14:textId="77777777"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t xml:space="preserve">Hasil penelitian di STIT Balikpapan memperlihatkan bahwa mata kuliah tasawuf tidak hanya menyampaikan konsep-konsep seperti </w:t>
      </w:r>
      <w:r w:rsidRPr="00730DC6">
        <w:rPr>
          <w:rFonts w:ascii="Gramond" w:hAnsi="Gramond" w:cs="Times New Roman"/>
          <w:i/>
          <w:iCs/>
          <w:sz w:val="26"/>
          <w:szCs w:val="26"/>
        </w:rPr>
        <w:t>tazkiyah al-nafs</w:t>
      </w:r>
      <w:r w:rsidRPr="00730DC6">
        <w:rPr>
          <w:rFonts w:ascii="Gramond" w:hAnsi="Gramond" w:cs="Times New Roman"/>
          <w:sz w:val="26"/>
          <w:szCs w:val="26"/>
        </w:rPr>
        <w:t xml:space="preserve">, </w:t>
      </w:r>
      <w:r w:rsidRPr="00730DC6">
        <w:rPr>
          <w:rFonts w:ascii="Gramond" w:hAnsi="Gramond" w:cs="Times New Roman"/>
          <w:i/>
          <w:iCs/>
          <w:sz w:val="26"/>
          <w:szCs w:val="26"/>
        </w:rPr>
        <w:t>mujahadah</w:t>
      </w:r>
      <w:r w:rsidRPr="00730DC6">
        <w:rPr>
          <w:rFonts w:ascii="Gramond" w:hAnsi="Gramond" w:cs="Times New Roman"/>
          <w:sz w:val="26"/>
          <w:szCs w:val="26"/>
        </w:rPr>
        <w:t xml:space="preserve">, </w:t>
      </w:r>
      <w:r w:rsidRPr="00730DC6">
        <w:rPr>
          <w:rFonts w:ascii="Gramond" w:hAnsi="Gramond" w:cs="Times New Roman"/>
          <w:i/>
          <w:iCs/>
          <w:sz w:val="26"/>
          <w:szCs w:val="26"/>
        </w:rPr>
        <w:t>mahabbah</w:t>
      </w:r>
      <w:r w:rsidRPr="00730DC6">
        <w:rPr>
          <w:rFonts w:ascii="Gramond" w:hAnsi="Gramond" w:cs="Times New Roman"/>
          <w:sz w:val="26"/>
          <w:szCs w:val="26"/>
        </w:rPr>
        <w:t>, dan etika sufistik, tetapi juga mendorong mahasiswa untuk menghidupkan nilai-nilai tersebut dalam praktik sehari-hari. Mayoritas mahasiswa mengakui bahwa pembelajaran tasawuf membantu mereka membangun kesadaran diri, mengelola emosi, dan memperkuat perilaku sosial positif seperti empati, toleransi, kemampuan bekerja sama, dan sikap rendah hati.</w:t>
      </w:r>
    </w:p>
    <w:p w14:paraId="6D4037FA" w14:textId="77777777"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t>Peran dosen sebagai teladan spiritual dan moral menjadi faktor penting dalam proses internalisasi nilai-nilai tasawuf. Keteladanan tersebut, ditambah dengan berbagai kegiatan kampus yang bernuansa keagamaan dan berorientasi pada pembinaan karakter, menciptakan suasana akademik yang mendukung mahasiswa untuk berlatih dan mempraktikkan nilai sufistik dalam interaksi sosial mereka.</w:t>
      </w:r>
    </w:p>
    <w:p w14:paraId="53B06D3A" w14:textId="77777777"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t xml:space="preserve">Selain itu, tasawuf terbukti berperan dalam menanamkan sikap moderasi beragama dan kemampuan hidup harmonis di tengah masyarakat yang multikultural. Ajaran cinta kasih, </w:t>
      </w:r>
      <w:r w:rsidRPr="00730DC6">
        <w:rPr>
          <w:rFonts w:ascii="Gramond" w:hAnsi="Gramond" w:cs="Times New Roman"/>
          <w:i/>
          <w:iCs/>
          <w:sz w:val="26"/>
          <w:szCs w:val="26"/>
        </w:rPr>
        <w:t>tasamuh</w:t>
      </w:r>
      <w:r w:rsidRPr="00730DC6">
        <w:rPr>
          <w:rFonts w:ascii="Gramond" w:hAnsi="Gramond" w:cs="Times New Roman"/>
          <w:sz w:val="26"/>
          <w:szCs w:val="26"/>
        </w:rPr>
        <w:t>, dan kesadaran akan kemanusiaan universal menjadikan mahasiswa tidak hanya fokus pada ketaatan ritual, tetapi juga terdorong untuk berperan aktif menciptakan harmoni sosial.</w:t>
      </w:r>
    </w:p>
    <w:p w14:paraId="325B2A34" w14:textId="77777777"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t>Secara keseluruhan, pembelajaran tasawuf terlihat memberikan dampak positif terhadap kematangan emosional dan moral mahasiswa. Mereka menjadi lebih dewasa dalam mengambil keputusan, lebih bijak dalam bersikap, dan mampu mengendalikan diri dari berbagai perilaku yang tidak terpuji. Hal ini menunjukkan bahwa tasawuf memiliki peran strategis dalam membentuk karakter sosial yang kuat, akhlak yang baik, dan kesiapan mahasiswa menghadapi dinamika era modern.</w:t>
      </w:r>
    </w:p>
    <w:p w14:paraId="6E6EE873" w14:textId="77777777" w:rsidR="002E4888" w:rsidRPr="00730DC6" w:rsidRDefault="002E4888" w:rsidP="002E4888">
      <w:pPr>
        <w:pStyle w:val="ListParagraph"/>
        <w:ind w:left="0" w:firstLine="720"/>
        <w:jc w:val="both"/>
        <w:rPr>
          <w:rFonts w:ascii="Gramond" w:hAnsi="Gramond" w:cs="Times New Roman"/>
          <w:sz w:val="26"/>
          <w:szCs w:val="26"/>
        </w:rPr>
      </w:pPr>
      <w:r w:rsidRPr="00730DC6">
        <w:rPr>
          <w:rFonts w:ascii="Gramond" w:hAnsi="Gramond" w:cs="Times New Roman"/>
          <w:sz w:val="26"/>
          <w:szCs w:val="26"/>
        </w:rPr>
        <w:lastRenderedPageBreak/>
        <w:t>Melihat semakin kompleksnya tantangan sosial dan moral saat ini, mata kuliah tasawuf perlu terus dikembangkan agar lebih aplikatif dan relevan dengan kehidupan mahasiswa. Tasawuf bukan hanya disiplin keilmuan, tetapi merupakan jalan pembinaan spiritual yang mampu membentuk generasi Muslim yang moderat, berintegritas, serta memiliki kepedulian sosial tinggi, dan pada akhirnya mampu menjadi agen perubahan yang membawa manfaat bagi masyarakat.</w:t>
      </w:r>
    </w:p>
    <w:p w14:paraId="5B34D682" w14:textId="2FD882A2" w:rsidR="00B051E7" w:rsidRPr="00FA5CEE" w:rsidRDefault="00B051E7"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1516231A"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D4D692D"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DC896D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4EEE53"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19BFB1"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4DBC576"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E3329BD"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BD52ABF"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BD5E196"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73C2F9B"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AFB0761"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327C74" w14:textId="0CEDBD20"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77D2F26" w14:textId="388672F6"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8F51D03" w14:textId="0E66C72C"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7F3969D" w14:textId="76E5BE4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6C1A14D" w14:textId="2D55FC63"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6C02DA4" w14:textId="25A3D7F4"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9A06A49" w14:textId="3A1A204D"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7560324" w14:textId="59C33566"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E4622C" w14:textId="4496FCD6"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F6E8930" w14:textId="7E91E268"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DA7A63E" w14:textId="63A1791B"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4AFDFD1" w14:textId="2A2A3B0E"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12851AB" w14:textId="72D1CED5"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5F8A6AE" w14:textId="5F1F513A"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F7C0D30" w14:textId="6512D296"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E25B0C4" w14:textId="26FB14BD"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9575FB8" w14:textId="77FFCD23"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B6DB9DE" w14:textId="2B8040C2"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3A72067" w14:textId="0D92BA21"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bookmarkStart w:id="0" w:name="_GoBack"/>
      <w:bookmarkEnd w:id="0"/>
    </w:p>
    <w:p w14:paraId="50FB4BFE" w14:textId="7777777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BC23B2" w14:textId="77777777" w:rsidR="00B051E7" w:rsidRPr="00FA5C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r w:rsidRPr="00FA5CEE">
        <w:rPr>
          <w:rFonts w:ascii="Garamond" w:eastAsia="Garamond" w:hAnsi="Garamond" w:cs="Garamond"/>
          <w:b/>
          <w:color w:val="000000"/>
          <w:sz w:val="26"/>
          <w:szCs w:val="26"/>
        </w:rPr>
        <w:lastRenderedPageBreak/>
        <w:t>DAFTAR PUSTAKA</w:t>
      </w:r>
    </w:p>
    <w:p w14:paraId="15B10DE4" w14:textId="77777777" w:rsidR="002E4888" w:rsidRPr="002E4888" w:rsidRDefault="002E4888" w:rsidP="002E4888">
      <w:pPr>
        <w:pStyle w:val="NormalWeb"/>
        <w:ind w:left="720" w:hanging="294"/>
        <w:jc w:val="both"/>
        <w:rPr>
          <w:rFonts w:ascii="Garamond" w:hAnsi="Garamond"/>
        </w:rPr>
      </w:pPr>
      <w:r w:rsidRPr="002E4888">
        <w:rPr>
          <w:rFonts w:ascii="Garamond" w:hAnsi="Garamond"/>
        </w:rPr>
        <w:t>Al-</w:t>
      </w:r>
      <w:proofErr w:type="spellStart"/>
      <w:r w:rsidRPr="002E4888">
        <w:rPr>
          <w:rFonts w:ascii="Garamond" w:hAnsi="Garamond"/>
        </w:rPr>
        <w:t>Attas</w:t>
      </w:r>
      <w:proofErr w:type="spellEnd"/>
      <w:r w:rsidRPr="002E4888">
        <w:rPr>
          <w:rFonts w:ascii="Garamond" w:hAnsi="Garamond"/>
        </w:rPr>
        <w:t>, S. M. N. (1978). Islam and secularism. Kuala Lumpur: ABIM.</w:t>
      </w:r>
    </w:p>
    <w:p w14:paraId="446E9DBF" w14:textId="77777777" w:rsidR="002E4888" w:rsidRPr="002E4888" w:rsidRDefault="002E4888" w:rsidP="002E4888">
      <w:pPr>
        <w:pStyle w:val="NormalWeb"/>
        <w:ind w:left="720" w:hanging="294"/>
        <w:jc w:val="both"/>
        <w:rPr>
          <w:rFonts w:ascii="Garamond" w:hAnsi="Garamond"/>
        </w:rPr>
      </w:pPr>
      <w:r w:rsidRPr="002E4888">
        <w:rPr>
          <w:rFonts w:ascii="Garamond" w:hAnsi="Garamond"/>
        </w:rPr>
        <w:t>Al-</w:t>
      </w:r>
      <w:proofErr w:type="spellStart"/>
      <w:r w:rsidRPr="002E4888">
        <w:rPr>
          <w:rFonts w:ascii="Garamond" w:hAnsi="Garamond"/>
        </w:rPr>
        <w:t>Attas</w:t>
      </w:r>
      <w:proofErr w:type="spellEnd"/>
      <w:r w:rsidRPr="002E4888">
        <w:rPr>
          <w:rFonts w:ascii="Garamond" w:hAnsi="Garamond"/>
        </w:rPr>
        <w:t>, S. M. N. (1993). Islam and secularism. Kuala Lumpur: ISTAC.</w:t>
      </w:r>
    </w:p>
    <w:p w14:paraId="62A691E2" w14:textId="77777777" w:rsidR="002E4888" w:rsidRPr="002E4888" w:rsidRDefault="002E4888" w:rsidP="002E4888">
      <w:pPr>
        <w:pStyle w:val="NormalWeb"/>
        <w:ind w:left="720" w:hanging="294"/>
        <w:jc w:val="both"/>
        <w:rPr>
          <w:rFonts w:ascii="Garamond" w:hAnsi="Garamond"/>
        </w:rPr>
      </w:pPr>
      <w:r w:rsidRPr="002E4888">
        <w:rPr>
          <w:rFonts w:ascii="Garamond" w:hAnsi="Garamond"/>
        </w:rPr>
        <w:t>Al-</w:t>
      </w:r>
      <w:proofErr w:type="spellStart"/>
      <w:r w:rsidRPr="002E4888">
        <w:rPr>
          <w:rFonts w:ascii="Garamond" w:hAnsi="Garamond"/>
        </w:rPr>
        <w:t>Attas</w:t>
      </w:r>
      <w:proofErr w:type="spellEnd"/>
      <w:r w:rsidRPr="002E4888">
        <w:rPr>
          <w:rFonts w:ascii="Garamond" w:hAnsi="Garamond"/>
        </w:rPr>
        <w:t>, S. M. N. (1995). Prolegomena to the metaphysics of Islam. Kuala Lumpur: International Institute of Islamic Thought and Civilization (ISTAC).</w:t>
      </w:r>
    </w:p>
    <w:p w14:paraId="2B3781B7" w14:textId="77777777" w:rsidR="002E4888" w:rsidRPr="002E4888" w:rsidRDefault="002E4888" w:rsidP="002E4888">
      <w:pPr>
        <w:pStyle w:val="NormalWeb"/>
        <w:ind w:left="720" w:hanging="294"/>
        <w:jc w:val="both"/>
        <w:rPr>
          <w:rFonts w:ascii="Garamond" w:hAnsi="Garamond"/>
        </w:rPr>
      </w:pPr>
      <w:r w:rsidRPr="002E4888">
        <w:rPr>
          <w:rFonts w:ascii="Garamond" w:hAnsi="Garamond"/>
        </w:rPr>
        <w:t>Al-</w:t>
      </w:r>
      <w:proofErr w:type="spellStart"/>
      <w:r w:rsidRPr="002E4888">
        <w:rPr>
          <w:rFonts w:ascii="Garamond" w:hAnsi="Garamond"/>
        </w:rPr>
        <w:t>Attas</w:t>
      </w:r>
      <w:proofErr w:type="spellEnd"/>
      <w:r w:rsidRPr="002E4888">
        <w:rPr>
          <w:rFonts w:ascii="Garamond" w:hAnsi="Garamond"/>
        </w:rPr>
        <w:t>, S. M. N. (1997). Islam and education. Kuala Lumpur: ISTAC.</w:t>
      </w:r>
    </w:p>
    <w:p w14:paraId="0B781191"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Al-Ghazali, A. H. (1997). </w:t>
      </w:r>
      <w:proofErr w:type="spellStart"/>
      <w:r w:rsidRPr="002E4888">
        <w:rPr>
          <w:rFonts w:ascii="Garamond" w:hAnsi="Garamond"/>
        </w:rPr>
        <w:t>Ihya</w:t>
      </w:r>
      <w:proofErr w:type="spellEnd"/>
      <w:r w:rsidRPr="002E4888">
        <w:rPr>
          <w:rFonts w:ascii="Garamond" w:hAnsi="Garamond"/>
        </w:rPr>
        <w:t xml:space="preserve">’ </w:t>
      </w:r>
      <w:proofErr w:type="spellStart"/>
      <w:r w:rsidRPr="002E4888">
        <w:rPr>
          <w:rFonts w:ascii="Garamond" w:hAnsi="Garamond"/>
        </w:rPr>
        <w:t>Ulum</w:t>
      </w:r>
      <w:proofErr w:type="spellEnd"/>
      <w:r w:rsidRPr="002E4888">
        <w:rPr>
          <w:rFonts w:ascii="Garamond" w:hAnsi="Garamond"/>
        </w:rPr>
        <w:t xml:space="preserve"> al-Din (Vol. II). Beirut: Dar al-</w:t>
      </w:r>
      <w:proofErr w:type="spellStart"/>
      <w:r w:rsidRPr="002E4888">
        <w:rPr>
          <w:rFonts w:ascii="Garamond" w:hAnsi="Garamond"/>
        </w:rPr>
        <w:t>Fikr</w:t>
      </w:r>
      <w:proofErr w:type="spellEnd"/>
      <w:r w:rsidRPr="002E4888">
        <w:rPr>
          <w:rFonts w:ascii="Garamond" w:hAnsi="Garamond"/>
        </w:rPr>
        <w:t>.</w:t>
      </w:r>
    </w:p>
    <w:p w14:paraId="1846911D"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Al-Ghazali, A. H. (1997). </w:t>
      </w:r>
      <w:proofErr w:type="spellStart"/>
      <w:r w:rsidRPr="002E4888">
        <w:rPr>
          <w:rFonts w:ascii="Garamond" w:hAnsi="Garamond"/>
        </w:rPr>
        <w:t>Ihya</w:t>
      </w:r>
      <w:proofErr w:type="spellEnd"/>
      <w:r w:rsidRPr="002E4888">
        <w:rPr>
          <w:rFonts w:ascii="Garamond" w:hAnsi="Garamond"/>
        </w:rPr>
        <w:t xml:space="preserve">’ </w:t>
      </w:r>
      <w:proofErr w:type="spellStart"/>
      <w:r w:rsidRPr="002E4888">
        <w:rPr>
          <w:rFonts w:ascii="Garamond" w:hAnsi="Garamond"/>
        </w:rPr>
        <w:t>Ulum</w:t>
      </w:r>
      <w:proofErr w:type="spellEnd"/>
      <w:r w:rsidRPr="002E4888">
        <w:rPr>
          <w:rFonts w:ascii="Garamond" w:hAnsi="Garamond"/>
        </w:rPr>
        <w:t xml:space="preserve"> al-Din (Vol. III). Beirut: Dar al-</w:t>
      </w:r>
      <w:proofErr w:type="spellStart"/>
      <w:r w:rsidRPr="002E4888">
        <w:rPr>
          <w:rFonts w:ascii="Garamond" w:hAnsi="Garamond"/>
        </w:rPr>
        <w:t>Fikr</w:t>
      </w:r>
      <w:proofErr w:type="spellEnd"/>
      <w:r w:rsidRPr="002E4888">
        <w:rPr>
          <w:rFonts w:ascii="Garamond" w:hAnsi="Garamond"/>
        </w:rPr>
        <w:t>.</w:t>
      </w:r>
    </w:p>
    <w:p w14:paraId="6639CA2B"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Al-Ghazali, A. H. (2005). </w:t>
      </w:r>
      <w:proofErr w:type="spellStart"/>
      <w:r w:rsidRPr="002E4888">
        <w:rPr>
          <w:rFonts w:ascii="Garamond" w:hAnsi="Garamond"/>
        </w:rPr>
        <w:t>Ihya</w:t>
      </w:r>
      <w:proofErr w:type="spellEnd"/>
      <w:r w:rsidRPr="002E4888">
        <w:rPr>
          <w:rFonts w:ascii="Garamond" w:hAnsi="Garamond"/>
        </w:rPr>
        <w:t xml:space="preserve">’ </w:t>
      </w:r>
      <w:proofErr w:type="spellStart"/>
      <w:r w:rsidRPr="002E4888">
        <w:rPr>
          <w:rFonts w:ascii="Garamond" w:hAnsi="Garamond"/>
        </w:rPr>
        <w:t>Ulum</w:t>
      </w:r>
      <w:proofErr w:type="spellEnd"/>
      <w:r w:rsidRPr="002E4888">
        <w:rPr>
          <w:rFonts w:ascii="Garamond" w:hAnsi="Garamond"/>
        </w:rPr>
        <w:t xml:space="preserve"> al-Din (Vol. I). Beirut: Dar al-</w:t>
      </w:r>
      <w:proofErr w:type="spellStart"/>
      <w:r w:rsidRPr="002E4888">
        <w:rPr>
          <w:rFonts w:ascii="Garamond" w:hAnsi="Garamond"/>
        </w:rPr>
        <w:t>Fikr</w:t>
      </w:r>
      <w:proofErr w:type="spellEnd"/>
      <w:r w:rsidRPr="002E4888">
        <w:rPr>
          <w:rFonts w:ascii="Garamond" w:hAnsi="Garamond"/>
        </w:rPr>
        <w:t>.</w:t>
      </w:r>
    </w:p>
    <w:p w14:paraId="520DBC25"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Al-Ghazali, A. H. (2005). </w:t>
      </w:r>
      <w:proofErr w:type="spellStart"/>
      <w:r w:rsidRPr="002E4888">
        <w:rPr>
          <w:rFonts w:ascii="Garamond" w:hAnsi="Garamond"/>
        </w:rPr>
        <w:t>Ihya</w:t>
      </w:r>
      <w:proofErr w:type="spellEnd"/>
      <w:r w:rsidRPr="002E4888">
        <w:rPr>
          <w:rFonts w:ascii="Garamond" w:hAnsi="Garamond"/>
        </w:rPr>
        <w:t xml:space="preserve">’ </w:t>
      </w:r>
      <w:proofErr w:type="spellStart"/>
      <w:r w:rsidRPr="002E4888">
        <w:rPr>
          <w:rFonts w:ascii="Garamond" w:hAnsi="Garamond"/>
        </w:rPr>
        <w:t>Ulum</w:t>
      </w:r>
      <w:proofErr w:type="spellEnd"/>
      <w:r w:rsidRPr="002E4888">
        <w:rPr>
          <w:rFonts w:ascii="Garamond" w:hAnsi="Garamond"/>
        </w:rPr>
        <w:t xml:space="preserve"> al-Din (Vol. III). Beirut: Dar al-</w:t>
      </w:r>
      <w:proofErr w:type="spellStart"/>
      <w:r w:rsidRPr="002E4888">
        <w:rPr>
          <w:rFonts w:ascii="Garamond" w:hAnsi="Garamond"/>
        </w:rPr>
        <w:t>Fikr</w:t>
      </w:r>
      <w:proofErr w:type="spellEnd"/>
      <w:r w:rsidRPr="002E4888">
        <w:rPr>
          <w:rFonts w:ascii="Garamond" w:hAnsi="Garamond"/>
        </w:rPr>
        <w:t>.</w:t>
      </w:r>
    </w:p>
    <w:p w14:paraId="73F7C030"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Al-Ghazali, A. H. (2005). </w:t>
      </w:r>
      <w:proofErr w:type="spellStart"/>
      <w:r w:rsidRPr="002E4888">
        <w:rPr>
          <w:rFonts w:ascii="Garamond" w:hAnsi="Garamond"/>
        </w:rPr>
        <w:t>Ihya</w:t>
      </w:r>
      <w:proofErr w:type="spellEnd"/>
      <w:r w:rsidRPr="002E4888">
        <w:rPr>
          <w:rFonts w:ascii="Garamond" w:hAnsi="Garamond"/>
        </w:rPr>
        <w:t xml:space="preserve">’ </w:t>
      </w:r>
      <w:proofErr w:type="spellStart"/>
      <w:r w:rsidRPr="002E4888">
        <w:rPr>
          <w:rFonts w:ascii="Garamond" w:hAnsi="Garamond"/>
        </w:rPr>
        <w:t>Ulum</w:t>
      </w:r>
      <w:proofErr w:type="spellEnd"/>
      <w:r w:rsidRPr="002E4888">
        <w:rPr>
          <w:rFonts w:ascii="Garamond" w:hAnsi="Garamond"/>
        </w:rPr>
        <w:t xml:space="preserve"> al-Din (Vol. IV). Beirut: Dar al-</w:t>
      </w:r>
      <w:proofErr w:type="spellStart"/>
      <w:r w:rsidRPr="002E4888">
        <w:rPr>
          <w:rFonts w:ascii="Garamond" w:hAnsi="Garamond"/>
        </w:rPr>
        <w:t>Fikr</w:t>
      </w:r>
      <w:proofErr w:type="spellEnd"/>
      <w:r w:rsidRPr="002E4888">
        <w:rPr>
          <w:rFonts w:ascii="Garamond" w:hAnsi="Garamond"/>
        </w:rPr>
        <w:t>.</w:t>
      </w:r>
    </w:p>
    <w:p w14:paraId="0294EF19" w14:textId="77777777" w:rsidR="002E4888" w:rsidRPr="002E4888" w:rsidRDefault="002E4888" w:rsidP="002E4888">
      <w:pPr>
        <w:pStyle w:val="NormalWeb"/>
        <w:ind w:left="720" w:hanging="294"/>
        <w:jc w:val="both"/>
        <w:rPr>
          <w:rFonts w:ascii="Garamond" w:hAnsi="Garamond"/>
        </w:rPr>
      </w:pPr>
      <w:r w:rsidRPr="002E4888">
        <w:rPr>
          <w:rFonts w:ascii="Garamond" w:hAnsi="Garamond"/>
        </w:rPr>
        <w:t>Al-</w:t>
      </w:r>
      <w:proofErr w:type="spellStart"/>
      <w:r w:rsidRPr="002E4888">
        <w:rPr>
          <w:rFonts w:ascii="Garamond" w:hAnsi="Garamond"/>
        </w:rPr>
        <w:t>Qusyairi</w:t>
      </w:r>
      <w:proofErr w:type="spellEnd"/>
      <w:r w:rsidRPr="002E4888">
        <w:rPr>
          <w:rFonts w:ascii="Garamond" w:hAnsi="Garamond"/>
        </w:rPr>
        <w:t>. (2002). Al-</w:t>
      </w:r>
      <w:proofErr w:type="spellStart"/>
      <w:r w:rsidRPr="002E4888">
        <w:rPr>
          <w:rFonts w:ascii="Garamond" w:hAnsi="Garamond"/>
        </w:rPr>
        <w:t>Risalah</w:t>
      </w:r>
      <w:proofErr w:type="spellEnd"/>
      <w:r w:rsidRPr="002E4888">
        <w:rPr>
          <w:rFonts w:ascii="Garamond" w:hAnsi="Garamond"/>
        </w:rPr>
        <w:t xml:space="preserve"> al-</w:t>
      </w:r>
      <w:proofErr w:type="spellStart"/>
      <w:r w:rsidRPr="002E4888">
        <w:rPr>
          <w:rFonts w:ascii="Garamond" w:hAnsi="Garamond"/>
        </w:rPr>
        <w:t>Qusyairiyyah</w:t>
      </w:r>
      <w:proofErr w:type="spellEnd"/>
      <w:r w:rsidRPr="002E4888">
        <w:rPr>
          <w:rFonts w:ascii="Garamond" w:hAnsi="Garamond"/>
        </w:rPr>
        <w:t>. Beirut: Dar al-</w:t>
      </w:r>
      <w:proofErr w:type="spellStart"/>
      <w:r w:rsidRPr="002E4888">
        <w:rPr>
          <w:rFonts w:ascii="Garamond" w:hAnsi="Garamond"/>
        </w:rPr>
        <w:t>Kutub</w:t>
      </w:r>
      <w:proofErr w:type="spellEnd"/>
      <w:r w:rsidRPr="002E4888">
        <w:rPr>
          <w:rFonts w:ascii="Garamond" w:hAnsi="Garamond"/>
        </w:rPr>
        <w:t>.</w:t>
      </w:r>
    </w:p>
    <w:p w14:paraId="26A536B9"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Athaillah</w:t>
      </w:r>
      <w:proofErr w:type="spellEnd"/>
      <w:r w:rsidRPr="002E4888">
        <w:rPr>
          <w:rFonts w:ascii="Garamond" w:hAnsi="Garamond"/>
        </w:rPr>
        <w:t>, I. (2003). Al-</w:t>
      </w:r>
      <w:proofErr w:type="spellStart"/>
      <w:r w:rsidRPr="002E4888">
        <w:rPr>
          <w:rFonts w:ascii="Garamond" w:hAnsi="Garamond"/>
        </w:rPr>
        <w:t>Hikam</w:t>
      </w:r>
      <w:proofErr w:type="spellEnd"/>
      <w:r w:rsidRPr="002E4888">
        <w:rPr>
          <w:rFonts w:ascii="Garamond" w:hAnsi="Garamond"/>
        </w:rPr>
        <w:t>. Beirut: Dar al-</w:t>
      </w:r>
      <w:proofErr w:type="spellStart"/>
      <w:r w:rsidRPr="002E4888">
        <w:rPr>
          <w:rFonts w:ascii="Garamond" w:hAnsi="Garamond"/>
        </w:rPr>
        <w:t>Kutub</w:t>
      </w:r>
      <w:proofErr w:type="spellEnd"/>
      <w:r w:rsidRPr="002E4888">
        <w:rPr>
          <w:rFonts w:ascii="Garamond" w:hAnsi="Garamond"/>
        </w:rPr>
        <w:t xml:space="preserve"> al-</w:t>
      </w:r>
      <w:proofErr w:type="spellStart"/>
      <w:r w:rsidRPr="002E4888">
        <w:rPr>
          <w:rFonts w:ascii="Garamond" w:hAnsi="Garamond"/>
        </w:rPr>
        <w:t>Ilmiyyah</w:t>
      </w:r>
      <w:proofErr w:type="spellEnd"/>
      <w:r w:rsidRPr="002E4888">
        <w:rPr>
          <w:rFonts w:ascii="Garamond" w:hAnsi="Garamond"/>
        </w:rPr>
        <w:t>.</w:t>
      </w:r>
    </w:p>
    <w:p w14:paraId="2B312A3B"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Azra</w:t>
      </w:r>
      <w:proofErr w:type="spellEnd"/>
      <w:r w:rsidRPr="002E4888">
        <w:rPr>
          <w:rFonts w:ascii="Garamond" w:hAnsi="Garamond"/>
        </w:rPr>
        <w:t xml:space="preserve">, A. (1994). </w:t>
      </w:r>
      <w:proofErr w:type="spellStart"/>
      <w:r w:rsidRPr="002E4888">
        <w:rPr>
          <w:rFonts w:ascii="Garamond" w:hAnsi="Garamond"/>
        </w:rPr>
        <w:t>Jaringan</w:t>
      </w:r>
      <w:proofErr w:type="spellEnd"/>
      <w:r w:rsidRPr="002E4888">
        <w:rPr>
          <w:rFonts w:ascii="Garamond" w:hAnsi="Garamond"/>
        </w:rPr>
        <w:t xml:space="preserve"> ulama Nusantara. Bandung: </w:t>
      </w:r>
      <w:proofErr w:type="spellStart"/>
      <w:r w:rsidRPr="002E4888">
        <w:rPr>
          <w:rFonts w:ascii="Garamond" w:hAnsi="Garamond"/>
        </w:rPr>
        <w:t>Mizan</w:t>
      </w:r>
      <w:proofErr w:type="spellEnd"/>
      <w:r w:rsidRPr="002E4888">
        <w:rPr>
          <w:rFonts w:ascii="Garamond" w:hAnsi="Garamond"/>
        </w:rPr>
        <w:t>.</w:t>
      </w:r>
    </w:p>
    <w:p w14:paraId="182DEDCE"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Azra</w:t>
      </w:r>
      <w:proofErr w:type="spellEnd"/>
      <w:r w:rsidRPr="002E4888">
        <w:rPr>
          <w:rFonts w:ascii="Garamond" w:hAnsi="Garamond"/>
        </w:rPr>
        <w:t xml:space="preserve">, A. (1999). Pendidikan Islam: </w:t>
      </w:r>
      <w:proofErr w:type="spellStart"/>
      <w:r w:rsidRPr="002E4888">
        <w:rPr>
          <w:rFonts w:ascii="Garamond" w:hAnsi="Garamond"/>
        </w:rPr>
        <w:t>Tradisi</w:t>
      </w:r>
      <w:proofErr w:type="spellEnd"/>
      <w:r w:rsidRPr="002E4888">
        <w:rPr>
          <w:rFonts w:ascii="Garamond" w:hAnsi="Garamond"/>
        </w:rPr>
        <w:t xml:space="preserve"> dan </w:t>
      </w:r>
      <w:proofErr w:type="spellStart"/>
      <w:r w:rsidRPr="002E4888">
        <w:rPr>
          <w:rFonts w:ascii="Garamond" w:hAnsi="Garamond"/>
        </w:rPr>
        <w:t>modernisasi</w:t>
      </w:r>
      <w:proofErr w:type="spellEnd"/>
      <w:r w:rsidRPr="002E4888">
        <w:rPr>
          <w:rFonts w:ascii="Garamond" w:hAnsi="Garamond"/>
        </w:rPr>
        <w:t xml:space="preserve"> </w:t>
      </w:r>
      <w:proofErr w:type="spellStart"/>
      <w:r w:rsidRPr="002E4888">
        <w:rPr>
          <w:rFonts w:ascii="Garamond" w:hAnsi="Garamond"/>
        </w:rPr>
        <w:t>menuju</w:t>
      </w:r>
      <w:proofErr w:type="spellEnd"/>
      <w:r w:rsidRPr="002E4888">
        <w:rPr>
          <w:rFonts w:ascii="Garamond" w:hAnsi="Garamond"/>
        </w:rPr>
        <w:t xml:space="preserve"> </w:t>
      </w:r>
      <w:proofErr w:type="spellStart"/>
      <w:r w:rsidRPr="002E4888">
        <w:rPr>
          <w:rFonts w:ascii="Garamond" w:hAnsi="Garamond"/>
        </w:rPr>
        <w:t>milenium</w:t>
      </w:r>
      <w:proofErr w:type="spellEnd"/>
      <w:r w:rsidRPr="002E4888">
        <w:rPr>
          <w:rFonts w:ascii="Garamond" w:hAnsi="Garamond"/>
        </w:rPr>
        <w:t xml:space="preserve"> </w:t>
      </w:r>
      <w:proofErr w:type="spellStart"/>
      <w:r w:rsidRPr="002E4888">
        <w:rPr>
          <w:rFonts w:ascii="Garamond" w:hAnsi="Garamond"/>
        </w:rPr>
        <w:t>baru</w:t>
      </w:r>
      <w:proofErr w:type="spellEnd"/>
      <w:r w:rsidRPr="002E4888">
        <w:rPr>
          <w:rFonts w:ascii="Garamond" w:hAnsi="Garamond"/>
        </w:rPr>
        <w:t xml:space="preserve">. Jakarta: Logos </w:t>
      </w:r>
      <w:proofErr w:type="spellStart"/>
      <w:r w:rsidRPr="002E4888">
        <w:rPr>
          <w:rFonts w:ascii="Garamond" w:hAnsi="Garamond"/>
        </w:rPr>
        <w:t>Wacana</w:t>
      </w:r>
      <w:proofErr w:type="spellEnd"/>
      <w:r w:rsidRPr="002E4888">
        <w:rPr>
          <w:rFonts w:ascii="Garamond" w:hAnsi="Garamond"/>
        </w:rPr>
        <w:t xml:space="preserve"> </w:t>
      </w:r>
      <w:proofErr w:type="spellStart"/>
      <w:r w:rsidRPr="002E4888">
        <w:rPr>
          <w:rFonts w:ascii="Garamond" w:hAnsi="Garamond"/>
        </w:rPr>
        <w:t>Ilmu</w:t>
      </w:r>
      <w:proofErr w:type="spellEnd"/>
      <w:r w:rsidRPr="002E4888">
        <w:rPr>
          <w:rFonts w:ascii="Garamond" w:hAnsi="Garamond"/>
        </w:rPr>
        <w:t>.</w:t>
      </w:r>
    </w:p>
    <w:p w14:paraId="3508BF8B"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Azra</w:t>
      </w:r>
      <w:proofErr w:type="spellEnd"/>
      <w:r w:rsidRPr="002E4888">
        <w:rPr>
          <w:rFonts w:ascii="Garamond" w:hAnsi="Garamond"/>
        </w:rPr>
        <w:t xml:space="preserve">, A. (2012). Pendidikan Islam: </w:t>
      </w:r>
      <w:proofErr w:type="spellStart"/>
      <w:r w:rsidRPr="002E4888">
        <w:rPr>
          <w:rFonts w:ascii="Garamond" w:hAnsi="Garamond"/>
        </w:rPr>
        <w:t>Tradisi</w:t>
      </w:r>
      <w:proofErr w:type="spellEnd"/>
      <w:r w:rsidRPr="002E4888">
        <w:rPr>
          <w:rFonts w:ascii="Garamond" w:hAnsi="Garamond"/>
        </w:rPr>
        <w:t xml:space="preserve"> dan </w:t>
      </w:r>
      <w:proofErr w:type="spellStart"/>
      <w:r w:rsidRPr="002E4888">
        <w:rPr>
          <w:rFonts w:ascii="Garamond" w:hAnsi="Garamond"/>
        </w:rPr>
        <w:t>modernisasi</w:t>
      </w:r>
      <w:proofErr w:type="spellEnd"/>
      <w:r w:rsidRPr="002E4888">
        <w:rPr>
          <w:rFonts w:ascii="Garamond" w:hAnsi="Garamond"/>
        </w:rPr>
        <w:t xml:space="preserve">. Jakarta: </w:t>
      </w:r>
      <w:proofErr w:type="spellStart"/>
      <w:r w:rsidRPr="002E4888">
        <w:rPr>
          <w:rFonts w:ascii="Garamond" w:hAnsi="Garamond"/>
        </w:rPr>
        <w:t>Kencana</w:t>
      </w:r>
      <w:proofErr w:type="spellEnd"/>
      <w:r w:rsidRPr="002E4888">
        <w:rPr>
          <w:rFonts w:ascii="Garamond" w:hAnsi="Garamond"/>
        </w:rPr>
        <w:t>.</w:t>
      </w:r>
    </w:p>
    <w:p w14:paraId="2BA90AD1"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Azra</w:t>
      </w:r>
      <w:proofErr w:type="spellEnd"/>
      <w:r w:rsidRPr="002E4888">
        <w:rPr>
          <w:rFonts w:ascii="Garamond" w:hAnsi="Garamond"/>
        </w:rPr>
        <w:t xml:space="preserve">, A. (2013). </w:t>
      </w:r>
      <w:proofErr w:type="spellStart"/>
      <w:r w:rsidRPr="002E4888">
        <w:rPr>
          <w:rFonts w:ascii="Garamond" w:hAnsi="Garamond"/>
        </w:rPr>
        <w:t>Pesantren</w:t>
      </w:r>
      <w:proofErr w:type="spellEnd"/>
      <w:r w:rsidRPr="002E4888">
        <w:rPr>
          <w:rFonts w:ascii="Garamond" w:hAnsi="Garamond"/>
        </w:rPr>
        <w:t xml:space="preserve"> dan </w:t>
      </w:r>
      <w:proofErr w:type="spellStart"/>
      <w:r w:rsidRPr="002E4888">
        <w:rPr>
          <w:rFonts w:ascii="Garamond" w:hAnsi="Garamond"/>
        </w:rPr>
        <w:t>tasawuf</w:t>
      </w:r>
      <w:proofErr w:type="spellEnd"/>
      <w:r w:rsidRPr="002E4888">
        <w:rPr>
          <w:rFonts w:ascii="Garamond" w:hAnsi="Garamond"/>
        </w:rPr>
        <w:t xml:space="preserve">. Jakarta: </w:t>
      </w:r>
      <w:proofErr w:type="spellStart"/>
      <w:r w:rsidRPr="002E4888">
        <w:rPr>
          <w:rFonts w:ascii="Garamond" w:hAnsi="Garamond"/>
        </w:rPr>
        <w:t>Prenada</w:t>
      </w:r>
      <w:proofErr w:type="spellEnd"/>
      <w:r w:rsidRPr="002E4888">
        <w:rPr>
          <w:rFonts w:ascii="Garamond" w:hAnsi="Garamond"/>
        </w:rPr>
        <w:t xml:space="preserve"> Media Group.</w:t>
      </w:r>
    </w:p>
    <w:p w14:paraId="0F10CD2B" w14:textId="77777777" w:rsidR="002E4888" w:rsidRPr="002E4888" w:rsidRDefault="002E4888" w:rsidP="002E4888">
      <w:pPr>
        <w:pStyle w:val="NormalWeb"/>
        <w:ind w:left="720" w:hanging="294"/>
        <w:jc w:val="both"/>
        <w:rPr>
          <w:rFonts w:ascii="Garamond" w:hAnsi="Garamond"/>
        </w:rPr>
      </w:pPr>
      <w:r w:rsidRPr="002E4888">
        <w:rPr>
          <w:rFonts w:ascii="Garamond" w:hAnsi="Garamond"/>
        </w:rPr>
        <w:t>Goleman, D. (1995). Emotional intelligence: Why it can matter more than IQ. New York: Bantam Books.</w:t>
      </w:r>
    </w:p>
    <w:p w14:paraId="129BAAEA"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Kompas</w:t>
      </w:r>
      <w:proofErr w:type="spellEnd"/>
      <w:r w:rsidRPr="002E4888">
        <w:rPr>
          <w:rFonts w:ascii="Garamond" w:hAnsi="Garamond"/>
        </w:rPr>
        <w:t xml:space="preserve">. (2023). </w:t>
      </w:r>
      <w:proofErr w:type="spellStart"/>
      <w:r w:rsidRPr="002E4888">
        <w:rPr>
          <w:rFonts w:ascii="Garamond" w:hAnsi="Garamond"/>
        </w:rPr>
        <w:t>Kasus</w:t>
      </w:r>
      <w:proofErr w:type="spellEnd"/>
      <w:r w:rsidRPr="002E4888">
        <w:rPr>
          <w:rFonts w:ascii="Garamond" w:hAnsi="Garamond"/>
        </w:rPr>
        <w:t xml:space="preserve"> </w:t>
      </w:r>
      <w:proofErr w:type="spellStart"/>
      <w:r w:rsidRPr="002E4888">
        <w:rPr>
          <w:rFonts w:ascii="Garamond" w:hAnsi="Garamond"/>
        </w:rPr>
        <w:t>perundungan</w:t>
      </w:r>
      <w:proofErr w:type="spellEnd"/>
      <w:r w:rsidRPr="002E4888">
        <w:rPr>
          <w:rFonts w:ascii="Garamond" w:hAnsi="Garamond"/>
        </w:rPr>
        <w:t xml:space="preserve"> di </w:t>
      </w:r>
      <w:proofErr w:type="spellStart"/>
      <w:r w:rsidRPr="002E4888">
        <w:rPr>
          <w:rFonts w:ascii="Garamond" w:hAnsi="Garamond"/>
        </w:rPr>
        <w:t>sekolah</w:t>
      </w:r>
      <w:proofErr w:type="spellEnd"/>
      <w:r w:rsidRPr="002E4888">
        <w:rPr>
          <w:rFonts w:ascii="Garamond" w:hAnsi="Garamond"/>
        </w:rPr>
        <w:t xml:space="preserve"> </w:t>
      </w:r>
      <w:proofErr w:type="spellStart"/>
      <w:r w:rsidRPr="002E4888">
        <w:rPr>
          <w:rFonts w:ascii="Garamond" w:hAnsi="Garamond"/>
        </w:rPr>
        <w:t>meningkat</w:t>
      </w:r>
      <w:proofErr w:type="spellEnd"/>
      <w:r w:rsidRPr="002E4888">
        <w:rPr>
          <w:rFonts w:ascii="Garamond" w:hAnsi="Garamond"/>
        </w:rPr>
        <w:t xml:space="preserve">. </w:t>
      </w:r>
      <w:proofErr w:type="spellStart"/>
      <w:r w:rsidRPr="002E4888">
        <w:rPr>
          <w:rFonts w:ascii="Garamond" w:hAnsi="Garamond"/>
        </w:rPr>
        <w:t>Diakses</w:t>
      </w:r>
      <w:proofErr w:type="spellEnd"/>
      <w:r w:rsidRPr="002E4888">
        <w:rPr>
          <w:rFonts w:ascii="Garamond" w:hAnsi="Garamond"/>
        </w:rPr>
        <w:t xml:space="preserve"> 7 November 2025 </w:t>
      </w:r>
      <w:proofErr w:type="spellStart"/>
      <w:r w:rsidRPr="002E4888">
        <w:rPr>
          <w:rFonts w:ascii="Garamond" w:hAnsi="Garamond"/>
        </w:rPr>
        <w:t>dari</w:t>
      </w:r>
      <w:proofErr w:type="spellEnd"/>
      <w:r w:rsidRPr="002E4888">
        <w:rPr>
          <w:rFonts w:ascii="Garamond" w:hAnsi="Garamond"/>
        </w:rPr>
        <w:t xml:space="preserve"> https://www.kompas.com</w:t>
      </w:r>
    </w:p>
    <w:p w14:paraId="78F880A3"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Lickona</w:t>
      </w:r>
      <w:proofErr w:type="spellEnd"/>
      <w:r w:rsidRPr="002E4888">
        <w:rPr>
          <w:rFonts w:ascii="Garamond" w:hAnsi="Garamond"/>
        </w:rPr>
        <w:t>, T. (1991). Education for character. New York: Bantam Books.</w:t>
      </w:r>
    </w:p>
    <w:p w14:paraId="706BDECE"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Mentoring </w:t>
      </w:r>
      <w:proofErr w:type="spellStart"/>
      <w:r w:rsidRPr="002E4888">
        <w:rPr>
          <w:rFonts w:ascii="Garamond" w:hAnsi="Garamond"/>
        </w:rPr>
        <w:t>Rohani</w:t>
      </w:r>
      <w:proofErr w:type="spellEnd"/>
      <w:r w:rsidRPr="002E4888">
        <w:rPr>
          <w:rFonts w:ascii="Garamond" w:hAnsi="Garamond"/>
        </w:rPr>
        <w:t xml:space="preserve"> </w:t>
      </w:r>
      <w:proofErr w:type="spellStart"/>
      <w:r w:rsidRPr="002E4888">
        <w:rPr>
          <w:rFonts w:ascii="Garamond" w:hAnsi="Garamond"/>
        </w:rPr>
        <w:t>Mahasiswa</w:t>
      </w:r>
      <w:proofErr w:type="spellEnd"/>
      <w:r w:rsidRPr="002E4888">
        <w:rPr>
          <w:rFonts w:ascii="Garamond" w:hAnsi="Garamond"/>
        </w:rPr>
        <w:t xml:space="preserve"> STIT. (2025). </w:t>
      </w:r>
      <w:proofErr w:type="spellStart"/>
      <w:r w:rsidRPr="002E4888">
        <w:rPr>
          <w:rFonts w:ascii="Garamond" w:hAnsi="Garamond"/>
        </w:rPr>
        <w:t>Catatan</w:t>
      </w:r>
      <w:proofErr w:type="spellEnd"/>
      <w:r w:rsidRPr="002E4888">
        <w:rPr>
          <w:rFonts w:ascii="Garamond" w:hAnsi="Garamond"/>
        </w:rPr>
        <w:t xml:space="preserve"> </w:t>
      </w:r>
      <w:proofErr w:type="spellStart"/>
      <w:r w:rsidRPr="002E4888">
        <w:rPr>
          <w:rFonts w:ascii="Garamond" w:hAnsi="Garamond"/>
        </w:rPr>
        <w:t>kegiatan</w:t>
      </w:r>
      <w:proofErr w:type="spellEnd"/>
      <w:r w:rsidRPr="002E4888">
        <w:rPr>
          <w:rFonts w:ascii="Garamond" w:hAnsi="Garamond"/>
        </w:rPr>
        <w:t xml:space="preserve"> mentoring </w:t>
      </w:r>
      <w:proofErr w:type="spellStart"/>
      <w:r w:rsidRPr="002E4888">
        <w:rPr>
          <w:rFonts w:ascii="Garamond" w:hAnsi="Garamond"/>
        </w:rPr>
        <w:t>rohani</w:t>
      </w:r>
      <w:proofErr w:type="spellEnd"/>
      <w:r w:rsidRPr="002E4888">
        <w:rPr>
          <w:rFonts w:ascii="Garamond" w:hAnsi="Garamond"/>
        </w:rPr>
        <w:t xml:space="preserve">. </w:t>
      </w:r>
      <w:proofErr w:type="spellStart"/>
      <w:r w:rsidRPr="002E4888">
        <w:rPr>
          <w:rFonts w:ascii="Garamond" w:hAnsi="Garamond"/>
        </w:rPr>
        <w:t>Tidak</w:t>
      </w:r>
      <w:proofErr w:type="spellEnd"/>
      <w:r w:rsidRPr="002E4888">
        <w:rPr>
          <w:rFonts w:ascii="Garamond" w:hAnsi="Garamond"/>
        </w:rPr>
        <w:t xml:space="preserve"> </w:t>
      </w:r>
      <w:proofErr w:type="spellStart"/>
      <w:r w:rsidRPr="002E4888">
        <w:rPr>
          <w:rFonts w:ascii="Garamond" w:hAnsi="Garamond"/>
        </w:rPr>
        <w:t>diterbitkan</w:t>
      </w:r>
      <w:proofErr w:type="spellEnd"/>
      <w:r w:rsidRPr="002E4888">
        <w:rPr>
          <w:rFonts w:ascii="Garamond" w:hAnsi="Garamond"/>
        </w:rPr>
        <w:t>.</w:t>
      </w:r>
    </w:p>
    <w:p w14:paraId="754F6CC2" w14:textId="77777777" w:rsidR="002E4888" w:rsidRPr="002E4888" w:rsidRDefault="002E4888" w:rsidP="002E4888">
      <w:pPr>
        <w:pStyle w:val="NormalWeb"/>
        <w:ind w:left="720" w:hanging="294"/>
        <w:jc w:val="both"/>
        <w:rPr>
          <w:rFonts w:ascii="Garamond" w:hAnsi="Garamond"/>
        </w:rPr>
      </w:pPr>
      <w:r w:rsidRPr="002E4888">
        <w:rPr>
          <w:rFonts w:ascii="Garamond" w:hAnsi="Garamond"/>
        </w:rPr>
        <w:lastRenderedPageBreak/>
        <w:t>Miles, M. B., &amp; Huberman, A. M. (1994). Qualitative data analysis. California: Sage Publications.</w:t>
      </w:r>
    </w:p>
    <w:p w14:paraId="030C4C49"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Moleong</w:t>
      </w:r>
      <w:proofErr w:type="spellEnd"/>
      <w:r w:rsidRPr="002E4888">
        <w:rPr>
          <w:rFonts w:ascii="Garamond" w:hAnsi="Garamond"/>
        </w:rPr>
        <w:t xml:space="preserve">, L. J. (2019). </w:t>
      </w:r>
      <w:proofErr w:type="spellStart"/>
      <w:r w:rsidRPr="002E4888">
        <w:rPr>
          <w:rFonts w:ascii="Garamond" w:hAnsi="Garamond"/>
        </w:rPr>
        <w:t>Metodologi</w:t>
      </w:r>
      <w:proofErr w:type="spellEnd"/>
      <w:r w:rsidRPr="002E4888">
        <w:rPr>
          <w:rFonts w:ascii="Garamond" w:hAnsi="Garamond"/>
        </w:rPr>
        <w:t xml:space="preserve"> </w:t>
      </w:r>
      <w:proofErr w:type="spellStart"/>
      <w:r w:rsidRPr="002E4888">
        <w:rPr>
          <w:rFonts w:ascii="Garamond" w:hAnsi="Garamond"/>
        </w:rPr>
        <w:t>penelitian</w:t>
      </w:r>
      <w:proofErr w:type="spellEnd"/>
      <w:r w:rsidRPr="002E4888">
        <w:rPr>
          <w:rFonts w:ascii="Garamond" w:hAnsi="Garamond"/>
        </w:rPr>
        <w:t xml:space="preserve"> </w:t>
      </w:r>
      <w:proofErr w:type="spellStart"/>
      <w:r w:rsidRPr="002E4888">
        <w:rPr>
          <w:rFonts w:ascii="Garamond" w:hAnsi="Garamond"/>
        </w:rPr>
        <w:t>kualitatif</w:t>
      </w:r>
      <w:proofErr w:type="spellEnd"/>
      <w:r w:rsidRPr="002E4888">
        <w:rPr>
          <w:rFonts w:ascii="Garamond" w:hAnsi="Garamond"/>
        </w:rPr>
        <w:t xml:space="preserve">. Bandung: PT </w:t>
      </w:r>
      <w:proofErr w:type="spellStart"/>
      <w:r w:rsidRPr="002E4888">
        <w:rPr>
          <w:rFonts w:ascii="Garamond" w:hAnsi="Garamond"/>
        </w:rPr>
        <w:t>Remaja</w:t>
      </w:r>
      <w:proofErr w:type="spellEnd"/>
      <w:r w:rsidRPr="002E4888">
        <w:rPr>
          <w:rFonts w:ascii="Garamond" w:hAnsi="Garamond"/>
        </w:rPr>
        <w:t xml:space="preserve"> </w:t>
      </w:r>
      <w:proofErr w:type="spellStart"/>
      <w:r w:rsidRPr="002E4888">
        <w:rPr>
          <w:rFonts w:ascii="Garamond" w:hAnsi="Garamond"/>
        </w:rPr>
        <w:t>Rosdakarya</w:t>
      </w:r>
      <w:proofErr w:type="spellEnd"/>
      <w:r w:rsidRPr="002E4888">
        <w:rPr>
          <w:rFonts w:ascii="Garamond" w:hAnsi="Garamond"/>
        </w:rPr>
        <w:t>.</w:t>
      </w:r>
    </w:p>
    <w:p w14:paraId="09D73F1A" w14:textId="77777777" w:rsidR="002E4888" w:rsidRPr="002E4888" w:rsidRDefault="002E4888" w:rsidP="002E4888">
      <w:pPr>
        <w:pStyle w:val="NormalWeb"/>
        <w:ind w:left="720" w:hanging="294"/>
        <w:jc w:val="both"/>
        <w:rPr>
          <w:rFonts w:ascii="Garamond" w:hAnsi="Garamond"/>
        </w:rPr>
      </w:pPr>
      <w:r w:rsidRPr="002E4888">
        <w:rPr>
          <w:rFonts w:ascii="Garamond" w:hAnsi="Garamond"/>
        </w:rPr>
        <w:t>Nasr, S. H. (1972). Sufi essays. Chicago: ABC International.</w:t>
      </w:r>
    </w:p>
    <w:p w14:paraId="219C6CDD"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Nasution</w:t>
      </w:r>
      <w:proofErr w:type="spellEnd"/>
      <w:r w:rsidRPr="002E4888">
        <w:rPr>
          <w:rFonts w:ascii="Garamond" w:hAnsi="Garamond"/>
        </w:rPr>
        <w:t xml:space="preserve">, H. (1985). Islam </w:t>
      </w:r>
      <w:proofErr w:type="spellStart"/>
      <w:r w:rsidRPr="002E4888">
        <w:rPr>
          <w:rFonts w:ascii="Garamond" w:hAnsi="Garamond"/>
        </w:rPr>
        <w:t>ditinjau</w:t>
      </w:r>
      <w:proofErr w:type="spellEnd"/>
      <w:r w:rsidRPr="002E4888">
        <w:rPr>
          <w:rFonts w:ascii="Garamond" w:hAnsi="Garamond"/>
        </w:rPr>
        <w:t xml:space="preserve"> </w:t>
      </w:r>
      <w:proofErr w:type="spellStart"/>
      <w:r w:rsidRPr="002E4888">
        <w:rPr>
          <w:rFonts w:ascii="Garamond" w:hAnsi="Garamond"/>
        </w:rPr>
        <w:t>dari</w:t>
      </w:r>
      <w:proofErr w:type="spellEnd"/>
      <w:r w:rsidRPr="002E4888">
        <w:rPr>
          <w:rFonts w:ascii="Garamond" w:hAnsi="Garamond"/>
        </w:rPr>
        <w:t xml:space="preserve"> </w:t>
      </w:r>
      <w:proofErr w:type="spellStart"/>
      <w:r w:rsidRPr="002E4888">
        <w:rPr>
          <w:rFonts w:ascii="Garamond" w:hAnsi="Garamond"/>
        </w:rPr>
        <w:t>berbagai</w:t>
      </w:r>
      <w:proofErr w:type="spellEnd"/>
      <w:r w:rsidRPr="002E4888">
        <w:rPr>
          <w:rFonts w:ascii="Garamond" w:hAnsi="Garamond"/>
        </w:rPr>
        <w:t xml:space="preserve"> </w:t>
      </w:r>
      <w:proofErr w:type="spellStart"/>
      <w:r w:rsidRPr="002E4888">
        <w:rPr>
          <w:rFonts w:ascii="Garamond" w:hAnsi="Garamond"/>
        </w:rPr>
        <w:t>aspeknya</w:t>
      </w:r>
      <w:proofErr w:type="spellEnd"/>
      <w:r w:rsidRPr="002E4888">
        <w:rPr>
          <w:rFonts w:ascii="Garamond" w:hAnsi="Garamond"/>
        </w:rPr>
        <w:t xml:space="preserve"> (Vol. II). Jakarta: UI Press.</w:t>
      </w:r>
    </w:p>
    <w:p w14:paraId="09092F66"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Nasution</w:t>
      </w:r>
      <w:proofErr w:type="spellEnd"/>
      <w:r w:rsidRPr="002E4888">
        <w:rPr>
          <w:rFonts w:ascii="Garamond" w:hAnsi="Garamond"/>
        </w:rPr>
        <w:t xml:space="preserve">, H. (1995). Islam </w:t>
      </w:r>
      <w:proofErr w:type="spellStart"/>
      <w:r w:rsidRPr="002E4888">
        <w:rPr>
          <w:rFonts w:ascii="Garamond" w:hAnsi="Garamond"/>
        </w:rPr>
        <w:t>rasional</w:t>
      </w:r>
      <w:proofErr w:type="spellEnd"/>
      <w:r w:rsidRPr="002E4888">
        <w:rPr>
          <w:rFonts w:ascii="Garamond" w:hAnsi="Garamond"/>
        </w:rPr>
        <w:t xml:space="preserve">. Bandung: </w:t>
      </w:r>
      <w:proofErr w:type="spellStart"/>
      <w:r w:rsidRPr="002E4888">
        <w:rPr>
          <w:rFonts w:ascii="Garamond" w:hAnsi="Garamond"/>
        </w:rPr>
        <w:t>Mizan</w:t>
      </w:r>
      <w:proofErr w:type="spellEnd"/>
      <w:r w:rsidRPr="002E4888">
        <w:rPr>
          <w:rFonts w:ascii="Garamond" w:hAnsi="Garamond"/>
        </w:rPr>
        <w:t>.</w:t>
      </w:r>
    </w:p>
    <w:p w14:paraId="406C0D78"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Nasution</w:t>
      </w:r>
      <w:proofErr w:type="spellEnd"/>
      <w:r w:rsidRPr="002E4888">
        <w:rPr>
          <w:rFonts w:ascii="Garamond" w:hAnsi="Garamond"/>
        </w:rPr>
        <w:t xml:space="preserve">, H. (2012). Islam </w:t>
      </w:r>
      <w:proofErr w:type="spellStart"/>
      <w:r w:rsidRPr="002E4888">
        <w:rPr>
          <w:rFonts w:ascii="Garamond" w:hAnsi="Garamond"/>
        </w:rPr>
        <w:t>rasional</w:t>
      </w:r>
      <w:proofErr w:type="spellEnd"/>
      <w:r w:rsidRPr="002E4888">
        <w:rPr>
          <w:rFonts w:ascii="Garamond" w:hAnsi="Garamond"/>
        </w:rPr>
        <w:t xml:space="preserve">: </w:t>
      </w:r>
      <w:proofErr w:type="spellStart"/>
      <w:r w:rsidRPr="002E4888">
        <w:rPr>
          <w:rFonts w:ascii="Garamond" w:hAnsi="Garamond"/>
        </w:rPr>
        <w:t>Gagasan</w:t>
      </w:r>
      <w:proofErr w:type="spellEnd"/>
      <w:r w:rsidRPr="002E4888">
        <w:rPr>
          <w:rFonts w:ascii="Garamond" w:hAnsi="Garamond"/>
        </w:rPr>
        <w:t xml:space="preserve"> dan </w:t>
      </w:r>
      <w:proofErr w:type="spellStart"/>
      <w:r w:rsidRPr="002E4888">
        <w:rPr>
          <w:rFonts w:ascii="Garamond" w:hAnsi="Garamond"/>
        </w:rPr>
        <w:t>pemikiran</w:t>
      </w:r>
      <w:proofErr w:type="spellEnd"/>
      <w:r w:rsidRPr="002E4888">
        <w:rPr>
          <w:rFonts w:ascii="Garamond" w:hAnsi="Garamond"/>
        </w:rPr>
        <w:t xml:space="preserve">. Bandung: </w:t>
      </w:r>
      <w:proofErr w:type="spellStart"/>
      <w:r w:rsidRPr="002E4888">
        <w:rPr>
          <w:rFonts w:ascii="Garamond" w:hAnsi="Garamond"/>
        </w:rPr>
        <w:t>Mizan</w:t>
      </w:r>
      <w:proofErr w:type="spellEnd"/>
      <w:r w:rsidRPr="002E4888">
        <w:rPr>
          <w:rFonts w:ascii="Garamond" w:hAnsi="Garamond"/>
        </w:rPr>
        <w:t>.</w:t>
      </w:r>
    </w:p>
    <w:p w14:paraId="0C4D99A3"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Observasi</w:t>
      </w:r>
      <w:proofErr w:type="spellEnd"/>
      <w:r w:rsidRPr="002E4888">
        <w:rPr>
          <w:rFonts w:ascii="Garamond" w:hAnsi="Garamond"/>
        </w:rPr>
        <w:t xml:space="preserve"> </w:t>
      </w:r>
      <w:proofErr w:type="spellStart"/>
      <w:r w:rsidRPr="002E4888">
        <w:rPr>
          <w:rFonts w:ascii="Garamond" w:hAnsi="Garamond"/>
        </w:rPr>
        <w:t>Akademik</w:t>
      </w:r>
      <w:proofErr w:type="spellEnd"/>
      <w:r w:rsidRPr="002E4888">
        <w:rPr>
          <w:rFonts w:ascii="Garamond" w:hAnsi="Garamond"/>
        </w:rPr>
        <w:t xml:space="preserve"> STIT Balikpapan. (2025). Hasil </w:t>
      </w:r>
      <w:proofErr w:type="spellStart"/>
      <w:r w:rsidRPr="002E4888">
        <w:rPr>
          <w:rFonts w:ascii="Garamond" w:hAnsi="Garamond"/>
        </w:rPr>
        <w:t>observasi</w:t>
      </w:r>
      <w:proofErr w:type="spellEnd"/>
      <w:r w:rsidRPr="002E4888">
        <w:rPr>
          <w:rFonts w:ascii="Garamond" w:hAnsi="Garamond"/>
        </w:rPr>
        <w:t xml:space="preserve"> </w:t>
      </w:r>
      <w:proofErr w:type="spellStart"/>
      <w:r w:rsidRPr="002E4888">
        <w:rPr>
          <w:rFonts w:ascii="Garamond" w:hAnsi="Garamond"/>
        </w:rPr>
        <w:t>akademik</w:t>
      </w:r>
      <w:proofErr w:type="spellEnd"/>
      <w:r w:rsidRPr="002E4888">
        <w:rPr>
          <w:rFonts w:ascii="Garamond" w:hAnsi="Garamond"/>
        </w:rPr>
        <w:t xml:space="preserve">. </w:t>
      </w:r>
      <w:proofErr w:type="spellStart"/>
      <w:r w:rsidRPr="002E4888">
        <w:rPr>
          <w:rFonts w:ascii="Garamond" w:hAnsi="Garamond"/>
        </w:rPr>
        <w:t>Tidak</w:t>
      </w:r>
      <w:proofErr w:type="spellEnd"/>
      <w:r w:rsidRPr="002E4888">
        <w:rPr>
          <w:rFonts w:ascii="Garamond" w:hAnsi="Garamond"/>
        </w:rPr>
        <w:t xml:space="preserve"> </w:t>
      </w:r>
      <w:proofErr w:type="spellStart"/>
      <w:r w:rsidRPr="002E4888">
        <w:rPr>
          <w:rFonts w:ascii="Garamond" w:hAnsi="Garamond"/>
        </w:rPr>
        <w:t>diterbitkan</w:t>
      </w:r>
      <w:proofErr w:type="spellEnd"/>
      <w:r w:rsidRPr="002E4888">
        <w:rPr>
          <w:rFonts w:ascii="Garamond" w:hAnsi="Garamond"/>
        </w:rPr>
        <w:t>.</w:t>
      </w:r>
    </w:p>
    <w:p w14:paraId="180BC6B4"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Observasi</w:t>
      </w:r>
      <w:proofErr w:type="spellEnd"/>
      <w:r w:rsidRPr="002E4888">
        <w:rPr>
          <w:rFonts w:ascii="Garamond" w:hAnsi="Garamond"/>
        </w:rPr>
        <w:t xml:space="preserve"> </w:t>
      </w:r>
      <w:proofErr w:type="spellStart"/>
      <w:r w:rsidRPr="002E4888">
        <w:rPr>
          <w:rFonts w:ascii="Garamond" w:hAnsi="Garamond"/>
        </w:rPr>
        <w:t>Kegiatan</w:t>
      </w:r>
      <w:proofErr w:type="spellEnd"/>
      <w:r w:rsidRPr="002E4888">
        <w:rPr>
          <w:rFonts w:ascii="Garamond" w:hAnsi="Garamond"/>
        </w:rPr>
        <w:t xml:space="preserve"> </w:t>
      </w:r>
      <w:proofErr w:type="spellStart"/>
      <w:r w:rsidRPr="002E4888">
        <w:rPr>
          <w:rFonts w:ascii="Garamond" w:hAnsi="Garamond"/>
        </w:rPr>
        <w:t>Kampus</w:t>
      </w:r>
      <w:proofErr w:type="spellEnd"/>
      <w:r w:rsidRPr="002E4888">
        <w:rPr>
          <w:rFonts w:ascii="Garamond" w:hAnsi="Garamond"/>
        </w:rPr>
        <w:t xml:space="preserve"> STIT Balikpapan. (2025). </w:t>
      </w:r>
      <w:proofErr w:type="spellStart"/>
      <w:r w:rsidRPr="002E4888">
        <w:rPr>
          <w:rFonts w:ascii="Garamond" w:hAnsi="Garamond"/>
        </w:rPr>
        <w:t>Catatan</w:t>
      </w:r>
      <w:proofErr w:type="spellEnd"/>
      <w:r w:rsidRPr="002E4888">
        <w:rPr>
          <w:rFonts w:ascii="Garamond" w:hAnsi="Garamond"/>
        </w:rPr>
        <w:t xml:space="preserve"> </w:t>
      </w:r>
      <w:proofErr w:type="spellStart"/>
      <w:r w:rsidRPr="002E4888">
        <w:rPr>
          <w:rFonts w:ascii="Garamond" w:hAnsi="Garamond"/>
        </w:rPr>
        <w:t>observasi</w:t>
      </w:r>
      <w:proofErr w:type="spellEnd"/>
      <w:r w:rsidRPr="002E4888">
        <w:rPr>
          <w:rFonts w:ascii="Garamond" w:hAnsi="Garamond"/>
        </w:rPr>
        <w:t xml:space="preserve"> </w:t>
      </w:r>
      <w:proofErr w:type="spellStart"/>
      <w:r w:rsidRPr="002E4888">
        <w:rPr>
          <w:rFonts w:ascii="Garamond" w:hAnsi="Garamond"/>
        </w:rPr>
        <w:t>kegiatan</w:t>
      </w:r>
      <w:proofErr w:type="spellEnd"/>
      <w:r w:rsidRPr="002E4888">
        <w:rPr>
          <w:rFonts w:ascii="Garamond" w:hAnsi="Garamond"/>
        </w:rPr>
        <w:t xml:space="preserve"> </w:t>
      </w:r>
      <w:proofErr w:type="spellStart"/>
      <w:r w:rsidRPr="002E4888">
        <w:rPr>
          <w:rFonts w:ascii="Garamond" w:hAnsi="Garamond"/>
        </w:rPr>
        <w:t>kampus</w:t>
      </w:r>
      <w:proofErr w:type="spellEnd"/>
      <w:r w:rsidRPr="002E4888">
        <w:rPr>
          <w:rFonts w:ascii="Garamond" w:hAnsi="Garamond"/>
        </w:rPr>
        <w:t xml:space="preserve">. </w:t>
      </w:r>
      <w:proofErr w:type="spellStart"/>
      <w:r w:rsidRPr="002E4888">
        <w:rPr>
          <w:rFonts w:ascii="Garamond" w:hAnsi="Garamond"/>
        </w:rPr>
        <w:t>Tidak</w:t>
      </w:r>
      <w:proofErr w:type="spellEnd"/>
      <w:r w:rsidRPr="002E4888">
        <w:rPr>
          <w:rFonts w:ascii="Garamond" w:hAnsi="Garamond"/>
        </w:rPr>
        <w:t xml:space="preserve"> </w:t>
      </w:r>
      <w:proofErr w:type="spellStart"/>
      <w:r w:rsidRPr="002E4888">
        <w:rPr>
          <w:rFonts w:ascii="Garamond" w:hAnsi="Garamond"/>
        </w:rPr>
        <w:t>diterbitkan</w:t>
      </w:r>
      <w:proofErr w:type="spellEnd"/>
      <w:r w:rsidRPr="002E4888">
        <w:rPr>
          <w:rFonts w:ascii="Garamond" w:hAnsi="Garamond"/>
        </w:rPr>
        <w:t>.</w:t>
      </w:r>
    </w:p>
    <w:p w14:paraId="16D29B9E"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Observasi</w:t>
      </w:r>
      <w:proofErr w:type="spellEnd"/>
      <w:r w:rsidRPr="002E4888">
        <w:rPr>
          <w:rFonts w:ascii="Garamond" w:hAnsi="Garamond"/>
        </w:rPr>
        <w:t xml:space="preserve"> Kelas </w:t>
      </w:r>
      <w:proofErr w:type="spellStart"/>
      <w:r w:rsidRPr="002E4888">
        <w:rPr>
          <w:rFonts w:ascii="Garamond" w:hAnsi="Garamond"/>
        </w:rPr>
        <w:t>Tasawuf</w:t>
      </w:r>
      <w:proofErr w:type="spellEnd"/>
      <w:r w:rsidRPr="002E4888">
        <w:rPr>
          <w:rFonts w:ascii="Garamond" w:hAnsi="Garamond"/>
        </w:rPr>
        <w:t xml:space="preserve"> STIT Balikpapan. (2025). </w:t>
      </w:r>
      <w:proofErr w:type="spellStart"/>
      <w:r w:rsidRPr="002E4888">
        <w:rPr>
          <w:rFonts w:ascii="Garamond" w:hAnsi="Garamond"/>
        </w:rPr>
        <w:t>Catatan</w:t>
      </w:r>
      <w:proofErr w:type="spellEnd"/>
      <w:r w:rsidRPr="002E4888">
        <w:rPr>
          <w:rFonts w:ascii="Garamond" w:hAnsi="Garamond"/>
        </w:rPr>
        <w:t xml:space="preserve"> </w:t>
      </w:r>
      <w:proofErr w:type="spellStart"/>
      <w:r w:rsidRPr="002E4888">
        <w:rPr>
          <w:rFonts w:ascii="Garamond" w:hAnsi="Garamond"/>
        </w:rPr>
        <w:t>observasi</w:t>
      </w:r>
      <w:proofErr w:type="spellEnd"/>
      <w:r w:rsidRPr="002E4888">
        <w:rPr>
          <w:rFonts w:ascii="Garamond" w:hAnsi="Garamond"/>
        </w:rPr>
        <w:t xml:space="preserve"> </w:t>
      </w:r>
      <w:proofErr w:type="spellStart"/>
      <w:r w:rsidRPr="002E4888">
        <w:rPr>
          <w:rFonts w:ascii="Garamond" w:hAnsi="Garamond"/>
        </w:rPr>
        <w:t>kelas</w:t>
      </w:r>
      <w:proofErr w:type="spellEnd"/>
      <w:r w:rsidRPr="002E4888">
        <w:rPr>
          <w:rFonts w:ascii="Garamond" w:hAnsi="Garamond"/>
        </w:rPr>
        <w:t xml:space="preserve">. </w:t>
      </w:r>
      <w:proofErr w:type="spellStart"/>
      <w:r w:rsidRPr="002E4888">
        <w:rPr>
          <w:rFonts w:ascii="Garamond" w:hAnsi="Garamond"/>
        </w:rPr>
        <w:t>Tidak</w:t>
      </w:r>
      <w:proofErr w:type="spellEnd"/>
      <w:r w:rsidRPr="002E4888">
        <w:rPr>
          <w:rFonts w:ascii="Garamond" w:hAnsi="Garamond"/>
        </w:rPr>
        <w:t xml:space="preserve"> </w:t>
      </w:r>
      <w:proofErr w:type="spellStart"/>
      <w:r w:rsidRPr="002E4888">
        <w:rPr>
          <w:rFonts w:ascii="Garamond" w:hAnsi="Garamond"/>
        </w:rPr>
        <w:t>diterbitkan</w:t>
      </w:r>
      <w:proofErr w:type="spellEnd"/>
      <w:r w:rsidRPr="002E4888">
        <w:rPr>
          <w:rFonts w:ascii="Garamond" w:hAnsi="Garamond"/>
        </w:rPr>
        <w:t>.</w:t>
      </w:r>
    </w:p>
    <w:p w14:paraId="28A8C707"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Shihab, M. Q. (2007). </w:t>
      </w:r>
      <w:proofErr w:type="spellStart"/>
      <w:r w:rsidRPr="002E4888">
        <w:rPr>
          <w:rFonts w:ascii="Garamond" w:hAnsi="Garamond"/>
        </w:rPr>
        <w:t>Membumikan</w:t>
      </w:r>
      <w:proofErr w:type="spellEnd"/>
      <w:r w:rsidRPr="002E4888">
        <w:rPr>
          <w:rFonts w:ascii="Garamond" w:hAnsi="Garamond"/>
        </w:rPr>
        <w:t xml:space="preserve"> Al-Qur’an. Jakarta: </w:t>
      </w:r>
      <w:proofErr w:type="spellStart"/>
      <w:r w:rsidRPr="002E4888">
        <w:rPr>
          <w:rFonts w:ascii="Garamond" w:hAnsi="Garamond"/>
        </w:rPr>
        <w:t>Lentera</w:t>
      </w:r>
      <w:proofErr w:type="spellEnd"/>
      <w:r w:rsidRPr="002E4888">
        <w:rPr>
          <w:rFonts w:ascii="Garamond" w:hAnsi="Garamond"/>
        </w:rPr>
        <w:t xml:space="preserve"> </w:t>
      </w:r>
      <w:proofErr w:type="spellStart"/>
      <w:r w:rsidRPr="002E4888">
        <w:rPr>
          <w:rFonts w:ascii="Garamond" w:hAnsi="Garamond"/>
        </w:rPr>
        <w:t>Hati</w:t>
      </w:r>
      <w:proofErr w:type="spellEnd"/>
      <w:r w:rsidRPr="002E4888">
        <w:rPr>
          <w:rFonts w:ascii="Garamond" w:hAnsi="Garamond"/>
        </w:rPr>
        <w:t>.</w:t>
      </w:r>
    </w:p>
    <w:p w14:paraId="6DE82E15" w14:textId="77777777" w:rsidR="002E4888" w:rsidRPr="002E4888" w:rsidRDefault="002E4888" w:rsidP="002E4888">
      <w:pPr>
        <w:pStyle w:val="NormalWeb"/>
        <w:ind w:left="720" w:hanging="294"/>
        <w:jc w:val="both"/>
        <w:rPr>
          <w:rFonts w:ascii="Garamond" w:hAnsi="Garamond"/>
        </w:rPr>
      </w:pPr>
      <w:r w:rsidRPr="002E4888">
        <w:rPr>
          <w:rFonts w:ascii="Garamond" w:hAnsi="Garamond"/>
        </w:rPr>
        <w:t xml:space="preserve">Shihab, M. Q. (2007). </w:t>
      </w:r>
      <w:proofErr w:type="spellStart"/>
      <w:r w:rsidRPr="002E4888">
        <w:rPr>
          <w:rFonts w:ascii="Garamond" w:hAnsi="Garamond"/>
        </w:rPr>
        <w:t>Wawasan</w:t>
      </w:r>
      <w:proofErr w:type="spellEnd"/>
      <w:r w:rsidRPr="002E4888">
        <w:rPr>
          <w:rFonts w:ascii="Garamond" w:hAnsi="Garamond"/>
        </w:rPr>
        <w:t xml:space="preserve"> Al-Qur’an: Tafsir </w:t>
      </w:r>
      <w:proofErr w:type="spellStart"/>
      <w:r w:rsidRPr="002E4888">
        <w:rPr>
          <w:rFonts w:ascii="Garamond" w:hAnsi="Garamond"/>
        </w:rPr>
        <w:t>maudhu’i</w:t>
      </w:r>
      <w:proofErr w:type="spellEnd"/>
      <w:r w:rsidRPr="002E4888">
        <w:rPr>
          <w:rFonts w:ascii="Garamond" w:hAnsi="Garamond"/>
        </w:rPr>
        <w:t xml:space="preserve"> </w:t>
      </w:r>
      <w:proofErr w:type="spellStart"/>
      <w:r w:rsidRPr="002E4888">
        <w:rPr>
          <w:rFonts w:ascii="Garamond" w:hAnsi="Garamond"/>
        </w:rPr>
        <w:t>atas</w:t>
      </w:r>
      <w:proofErr w:type="spellEnd"/>
      <w:r w:rsidRPr="002E4888">
        <w:rPr>
          <w:rFonts w:ascii="Garamond" w:hAnsi="Garamond"/>
        </w:rPr>
        <w:t xml:space="preserve"> </w:t>
      </w:r>
      <w:proofErr w:type="spellStart"/>
      <w:r w:rsidRPr="002E4888">
        <w:rPr>
          <w:rFonts w:ascii="Garamond" w:hAnsi="Garamond"/>
        </w:rPr>
        <w:t>pelbagai</w:t>
      </w:r>
      <w:proofErr w:type="spellEnd"/>
      <w:r w:rsidRPr="002E4888">
        <w:rPr>
          <w:rFonts w:ascii="Garamond" w:hAnsi="Garamond"/>
        </w:rPr>
        <w:t xml:space="preserve"> </w:t>
      </w:r>
      <w:proofErr w:type="spellStart"/>
      <w:r w:rsidRPr="002E4888">
        <w:rPr>
          <w:rFonts w:ascii="Garamond" w:hAnsi="Garamond"/>
        </w:rPr>
        <w:t>persoalan</w:t>
      </w:r>
      <w:proofErr w:type="spellEnd"/>
      <w:r w:rsidRPr="002E4888">
        <w:rPr>
          <w:rFonts w:ascii="Garamond" w:hAnsi="Garamond"/>
        </w:rPr>
        <w:t xml:space="preserve"> </w:t>
      </w:r>
      <w:proofErr w:type="spellStart"/>
      <w:r w:rsidRPr="002E4888">
        <w:rPr>
          <w:rFonts w:ascii="Garamond" w:hAnsi="Garamond"/>
        </w:rPr>
        <w:t>umat</w:t>
      </w:r>
      <w:proofErr w:type="spellEnd"/>
      <w:r w:rsidRPr="002E4888">
        <w:rPr>
          <w:rFonts w:ascii="Garamond" w:hAnsi="Garamond"/>
        </w:rPr>
        <w:t xml:space="preserve">. Jakarta: </w:t>
      </w:r>
      <w:proofErr w:type="spellStart"/>
      <w:r w:rsidRPr="002E4888">
        <w:rPr>
          <w:rFonts w:ascii="Garamond" w:hAnsi="Garamond"/>
        </w:rPr>
        <w:t>Lentera</w:t>
      </w:r>
      <w:proofErr w:type="spellEnd"/>
      <w:r w:rsidRPr="002E4888">
        <w:rPr>
          <w:rFonts w:ascii="Garamond" w:hAnsi="Garamond"/>
        </w:rPr>
        <w:t xml:space="preserve"> </w:t>
      </w:r>
      <w:proofErr w:type="spellStart"/>
      <w:r w:rsidRPr="002E4888">
        <w:rPr>
          <w:rFonts w:ascii="Garamond" w:hAnsi="Garamond"/>
        </w:rPr>
        <w:t>Hati</w:t>
      </w:r>
      <w:proofErr w:type="spellEnd"/>
      <w:r w:rsidRPr="002E4888">
        <w:rPr>
          <w:rFonts w:ascii="Garamond" w:hAnsi="Garamond"/>
        </w:rPr>
        <w:t>.</w:t>
      </w:r>
    </w:p>
    <w:p w14:paraId="7F3CD3F6"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Sugiyono</w:t>
      </w:r>
      <w:proofErr w:type="spellEnd"/>
      <w:r w:rsidRPr="002E4888">
        <w:rPr>
          <w:rFonts w:ascii="Garamond" w:hAnsi="Garamond"/>
        </w:rPr>
        <w:t xml:space="preserve">. (2017). </w:t>
      </w:r>
      <w:proofErr w:type="spellStart"/>
      <w:r w:rsidRPr="002E4888">
        <w:rPr>
          <w:rFonts w:ascii="Garamond" w:hAnsi="Garamond"/>
        </w:rPr>
        <w:t>Metode</w:t>
      </w:r>
      <w:proofErr w:type="spellEnd"/>
      <w:r w:rsidRPr="002E4888">
        <w:rPr>
          <w:rFonts w:ascii="Garamond" w:hAnsi="Garamond"/>
        </w:rPr>
        <w:t xml:space="preserve"> </w:t>
      </w:r>
      <w:proofErr w:type="spellStart"/>
      <w:r w:rsidRPr="002E4888">
        <w:rPr>
          <w:rFonts w:ascii="Garamond" w:hAnsi="Garamond"/>
        </w:rPr>
        <w:t>penelitian</w:t>
      </w:r>
      <w:proofErr w:type="spellEnd"/>
      <w:r w:rsidRPr="002E4888">
        <w:rPr>
          <w:rFonts w:ascii="Garamond" w:hAnsi="Garamond"/>
        </w:rPr>
        <w:t xml:space="preserve"> </w:t>
      </w:r>
      <w:proofErr w:type="spellStart"/>
      <w:r w:rsidRPr="002E4888">
        <w:rPr>
          <w:rFonts w:ascii="Garamond" w:hAnsi="Garamond"/>
        </w:rPr>
        <w:t>kualitatif</w:t>
      </w:r>
      <w:proofErr w:type="spellEnd"/>
      <w:r w:rsidRPr="002E4888">
        <w:rPr>
          <w:rFonts w:ascii="Garamond" w:hAnsi="Garamond"/>
        </w:rPr>
        <w:t xml:space="preserve">. Bandung: </w:t>
      </w:r>
      <w:proofErr w:type="spellStart"/>
      <w:r w:rsidRPr="002E4888">
        <w:rPr>
          <w:rFonts w:ascii="Garamond" w:hAnsi="Garamond"/>
        </w:rPr>
        <w:t>Alfabeta</w:t>
      </w:r>
      <w:proofErr w:type="spellEnd"/>
      <w:r w:rsidRPr="002E4888">
        <w:rPr>
          <w:rFonts w:ascii="Garamond" w:hAnsi="Garamond"/>
        </w:rPr>
        <w:t>.</w:t>
      </w:r>
    </w:p>
    <w:p w14:paraId="5B9C79C7" w14:textId="77777777" w:rsidR="002E4888" w:rsidRPr="002E4888" w:rsidRDefault="002E4888" w:rsidP="002E4888">
      <w:pPr>
        <w:pStyle w:val="NormalWeb"/>
        <w:ind w:left="720" w:hanging="294"/>
        <w:jc w:val="both"/>
        <w:rPr>
          <w:rFonts w:ascii="Garamond" w:hAnsi="Garamond"/>
        </w:rPr>
      </w:pPr>
      <w:proofErr w:type="spellStart"/>
      <w:r w:rsidRPr="002E4888">
        <w:rPr>
          <w:rFonts w:ascii="Garamond" w:hAnsi="Garamond"/>
        </w:rPr>
        <w:t>Sugiyono</w:t>
      </w:r>
      <w:proofErr w:type="spellEnd"/>
      <w:r w:rsidRPr="002E4888">
        <w:rPr>
          <w:rFonts w:ascii="Garamond" w:hAnsi="Garamond"/>
        </w:rPr>
        <w:t xml:space="preserve">. (2019). </w:t>
      </w:r>
      <w:proofErr w:type="spellStart"/>
      <w:r w:rsidRPr="002E4888">
        <w:rPr>
          <w:rFonts w:ascii="Garamond" w:hAnsi="Garamond"/>
        </w:rPr>
        <w:t>Metode</w:t>
      </w:r>
      <w:proofErr w:type="spellEnd"/>
      <w:r w:rsidRPr="002E4888">
        <w:rPr>
          <w:rFonts w:ascii="Garamond" w:hAnsi="Garamond"/>
        </w:rPr>
        <w:t xml:space="preserve"> </w:t>
      </w:r>
      <w:proofErr w:type="spellStart"/>
      <w:r w:rsidRPr="002E4888">
        <w:rPr>
          <w:rFonts w:ascii="Garamond" w:hAnsi="Garamond"/>
        </w:rPr>
        <w:t>penelitian</w:t>
      </w:r>
      <w:proofErr w:type="spellEnd"/>
      <w:r w:rsidRPr="002E4888">
        <w:rPr>
          <w:rFonts w:ascii="Garamond" w:hAnsi="Garamond"/>
        </w:rPr>
        <w:t xml:space="preserve"> </w:t>
      </w:r>
      <w:proofErr w:type="spellStart"/>
      <w:r w:rsidRPr="002E4888">
        <w:rPr>
          <w:rFonts w:ascii="Garamond" w:hAnsi="Garamond"/>
        </w:rPr>
        <w:t>pendidikan</w:t>
      </w:r>
      <w:proofErr w:type="spellEnd"/>
      <w:r w:rsidRPr="002E4888">
        <w:rPr>
          <w:rFonts w:ascii="Garamond" w:hAnsi="Garamond"/>
        </w:rPr>
        <w:t xml:space="preserve">: </w:t>
      </w:r>
      <w:proofErr w:type="spellStart"/>
      <w:r w:rsidRPr="002E4888">
        <w:rPr>
          <w:rFonts w:ascii="Garamond" w:hAnsi="Garamond"/>
        </w:rPr>
        <w:t>Pendekatan</w:t>
      </w:r>
      <w:proofErr w:type="spellEnd"/>
      <w:r w:rsidRPr="002E4888">
        <w:rPr>
          <w:rFonts w:ascii="Garamond" w:hAnsi="Garamond"/>
        </w:rPr>
        <w:t xml:space="preserve"> </w:t>
      </w:r>
      <w:proofErr w:type="spellStart"/>
      <w:r w:rsidRPr="002E4888">
        <w:rPr>
          <w:rFonts w:ascii="Garamond" w:hAnsi="Garamond"/>
        </w:rPr>
        <w:t>kuantitatif</w:t>
      </w:r>
      <w:proofErr w:type="spellEnd"/>
      <w:r w:rsidRPr="002E4888">
        <w:rPr>
          <w:rFonts w:ascii="Garamond" w:hAnsi="Garamond"/>
        </w:rPr>
        <w:t xml:space="preserve">, </w:t>
      </w:r>
      <w:proofErr w:type="spellStart"/>
      <w:r w:rsidRPr="002E4888">
        <w:rPr>
          <w:rFonts w:ascii="Garamond" w:hAnsi="Garamond"/>
        </w:rPr>
        <w:t>kualitatif</w:t>
      </w:r>
      <w:proofErr w:type="spellEnd"/>
      <w:r w:rsidRPr="002E4888">
        <w:rPr>
          <w:rFonts w:ascii="Garamond" w:hAnsi="Garamond"/>
        </w:rPr>
        <w:t xml:space="preserve"> dan R&amp;D. Bandung: </w:t>
      </w:r>
      <w:proofErr w:type="spellStart"/>
      <w:r w:rsidRPr="002E4888">
        <w:rPr>
          <w:rFonts w:ascii="Garamond" w:hAnsi="Garamond"/>
        </w:rPr>
        <w:t>Alfabeta</w:t>
      </w:r>
      <w:proofErr w:type="spellEnd"/>
      <w:r w:rsidRPr="002E4888">
        <w:rPr>
          <w:rFonts w:ascii="Garamond" w:hAnsi="Garamond"/>
        </w:rPr>
        <w:t>.</w:t>
      </w:r>
    </w:p>
    <w:p w14:paraId="594CC36E" w14:textId="1CF8B969" w:rsidR="00A413B2" w:rsidRPr="00B051E7" w:rsidRDefault="002E4888" w:rsidP="002E4888">
      <w:pPr>
        <w:pStyle w:val="NormalWeb"/>
        <w:ind w:left="720" w:hanging="294"/>
        <w:jc w:val="both"/>
      </w:pPr>
      <w:proofErr w:type="spellStart"/>
      <w:r w:rsidRPr="002E4888">
        <w:rPr>
          <w:rFonts w:ascii="Garamond" w:hAnsi="Garamond"/>
        </w:rPr>
        <w:t>Wawancara</w:t>
      </w:r>
      <w:proofErr w:type="spellEnd"/>
      <w:r w:rsidRPr="002E4888">
        <w:rPr>
          <w:rFonts w:ascii="Garamond" w:hAnsi="Garamond"/>
        </w:rPr>
        <w:t xml:space="preserve"> </w:t>
      </w:r>
      <w:proofErr w:type="spellStart"/>
      <w:r w:rsidRPr="002E4888">
        <w:rPr>
          <w:rFonts w:ascii="Garamond" w:hAnsi="Garamond"/>
        </w:rPr>
        <w:t>Mahasiswa</w:t>
      </w:r>
      <w:proofErr w:type="spellEnd"/>
      <w:r w:rsidRPr="002E4888">
        <w:rPr>
          <w:rFonts w:ascii="Garamond" w:hAnsi="Garamond"/>
        </w:rPr>
        <w:t xml:space="preserve"> STIT Balikpapan. (2025). Hasil </w:t>
      </w:r>
      <w:proofErr w:type="spellStart"/>
      <w:r w:rsidRPr="002E4888">
        <w:rPr>
          <w:rFonts w:ascii="Garamond" w:hAnsi="Garamond"/>
        </w:rPr>
        <w:t>wawancara</w:t>
      </w:r>
      <w:proofErr w:type="spellEnd"/>
      <w:r w:rsidRPr="002E4888">
        <w:rPr>
          <w:rFonts w:ascii="Garamond" w:hAnsi="Garamond"/>
        </w:rPr>
        <w:t xml:space="preserve"> </w:t>
      </w:r>
      <w:proofErr w:type="spellStart"/>
      <w:r w:rsidRPr="002E4888">
        <w:rPr>
          <w:rFonts w:ascii="Garamond" w:hAnsi="Garamond"/>
        </w:rPr>
        <w:t>mahasiswa</w:t>
      </w:r>
      <w:proofErr w:type="spellEnd"/>
      <w:r w:rsidRPr="002E4888">
        <w:rPr>
          <w:rFonts w:ascii="Garamond" w:hAnsi="Garamond"/>
        </w:rPr>
        <w:t xml:space="preserve">. </w:t>
      </w:r>
      <w:proofErr w:type="spellStart"/>
      <w:r w:rsidRPr="002E4888">
        <w:rPr>
          <w:rFonts w:ascii="Garamond" w:hAnsi="Garamond"/>
        </w:rPr>
        <w:t>Tidak</w:t>
      </w:r>
      <w:proofErr w:type="spellEnd"/>
      <w:r w:rsidRPr="002E4888">
        <w:rPr>
          <w:rFonts w:ascii="Garamond" w:hAnsi="Garamond"/>
        </w:rPr>
        <w:t xml:space="preserve"> </w:t>
      </w:r>
      <w:proofErr w:type="spellStart"/>
      <w:r w:rsidRPr="002E4888">
        <w:rPr>
          <w:rFonts w:ascii="Garamond" w:hAnsi="Garamond"/>
        </w:rPr>
        <w:t>diterbitkan</w:t>
      </w:r>
      <w:proofErr w:type="spellEnd"/>
      <w:r w:rsidRPr="002E4888">
        <w:rPr>
          <w:rFonts w:ascii="Garamond" w:hAnsi="Garamond"/>
        </w:rPr>
        <w:t>.</w:t>
      </w:r>
    </w:p>
    <w:sectPr w:rsidR="00A413B2" w:rsidRPr="00B051E7" w:rsidSect="00883795">
      <w:headerReference w:type="default" r:id="rId11"/>
      <w:footerReference w:type="default" r:id="rId12"/>
      <w:pgSz w:w="12240" w:h="15840" w:code="1"/>
      <w:pgMar w:top="1701" w:right="1134" w:bottom="1134" w:left="2268" w:header="794" w:footer="709" w:gutter="0"/>
      <w:pgNumType w:start="2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B863D" w14:textId="77777777" w:rsidR="00736E51" w:rsidRDefault="00736E51" w:rsidP="00CB646B">
      <w:pPr>
        <w:spacing w:after="0" w:line="240" w:lineRule="auto"/>
      </w:pPr>
      <w:r>
        <w:separator/>
      </w:r>
    </w:p>
  </w:endnote>
  <w:endnote w:type="continuationSeparator" w:id="0">
    <w:p w14:paraId="71151D3A" w14:textId="77777777" w:rsidR="00736E51" w:rsidRDefault="00736E51"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ramond">
    <w:altName w:val="Cambria"/>
    <w:panose1 w:val="00000000000000000000"/>
    <w:charset w:val="00"/>
    <w:family w:val="roman"/>
    <w:notTrueType/>
    <w:pitch w:val="default"/>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7971872"/>
      <w:docPartObj>
        <w:docPartGallery w:val="Page Numbers (Bottom of Page)"/>
        <w:docPartUnique/>
      </w:docPartObj>
    </w:sdtPr>
    <w:sdtEndPr>
      <w:rPr>
        <w:noProof/>
      </w:rPr>
    </w:sdtEndPr>
    <w:sdtContent>
      <w:p w14:paraId="1FF3DBB5" w14:textId="6AF32A54" w:rsidR="00883795" w:rsidRDefault="00883795">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2DB55112"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0872E" w14:textId="77777777" w:rsidR="00736E51" w:rsidRDefault="00736E51" w:rsidP="00CB646B">
      <w:pPr>
        <w:spacing w:after="0" w:line="240" w:lineRule="auto"/>
      </w:pPr>
      <w:r>
        <w:separator/>
      </w:r>
    </w:p>
  </w:footnote>
  <w:footnote w:type="continuationSeparator" w:id="0">
    <w:p w14:paraId="4321C96A" w14:textId="77777777" w:rsidR="00736E51" w:rsidRDefault="00736E51" w:rsidP="00CB646B">
      <w:pPr>
        <w:spacing w:after="0" w:line="240" w:lineRule="auto"/>
      </w:pPr>
      <w:r>
        <w:continuationSeparator/>
      </w:r>
    </w:p>
  </w:footnote>
  <w:footnote w:id="1">
    <w:p w14:paraId="769BCAF0"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Azyumardi Azra, </w:t>
      </w:r>
      <w:r w:rsidRPr="009E2C58">
        <w:rPr>
          <w:rFonts w:ascii="Gramond" w:hAnsi="Gramond" w:cs="Times New Roman"/>
          <w:i/>
          <w:iCs/>
        </w:rPr>
        <w:t>Pendidikan Islam: Tradisi dan Modernisasi Menuju Milenium Baru</w:t>
      </w:r>
      <w:r w:rsidRPr="009E2C58">
        <w:rPr>
          <w:rFonts w:ascii="Gramond" w:hAnsi="Gramond" w:cs="Times New Roman"/>
        </w:rPr>
        <w:t xml:space="preserve"> (Jakarta: Logos, 1999), hlm. 22.</w:t>
      </w:r>
    </w:p>
  </w:footnote>
  <w:footnote w:id="2">
    <w:p w14:paraId="51C559EA"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45.</w:t>
      </w:r>
    </w:p>
  </w:footnote>
  <w:footnote w:id="3">
    <w:p w14:paraId="1B17423F"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Harun Nasution, </w:t>
      </w:r>
      <w:r w:rsidRPr="009E2C58">
        <w:rPr>
          <w:rFonts w:ascii="Gramond" w:hAnsi="Gramond" w:cs="Times New Roman"/>
          <w:i/>
          <w:iCs/>
        </w:rPr>
        <w:t>Islam Ditinjau dari Berbagai Aspeknya</w:t>
      </w:r>
      <w:r w:rsidRPr="009E2C58">
        <w:rPr>
          <w:rFonts w:ascii="Gramond" w:hAnsi="Gramond" w:cs="Times New Roman"/>
        </w:rPr>
        <w:t>, Jilid II (Jakarta: UI Press, 1985), hlm. 96.</w:t>
      </w:r>
    </w:p>
  </w:footnote>
  <w:footnote w:id="4">
    <w:p w14:paraId="6655355D"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Al-Qusyairi, </w:t>
      </w:r>
      <w:r w:rsidRPr="009E2C58">
        <w:rPr>
          <w:rFonts w:ascii="Gramond" w:hAnsi="Gramond" w:cs="Times New Roman"/>
          <w:i/>
          <w:iCs/>
        </w:rPr>
        <w:t>Al-Risalah al-Qusyairiyyah</w:t>
      </w:r>
      <w:r w:rsidRPr="009E2C58">
        <w:rPr>
          <w:rFonts w:ascii="Gramond" w:hAnsi="Gramond" w:cs="Times New Roman"/>
        </w:rPr>
        <w:t xml:space="preserve"> (Beirut: Dar al-Kutub, 2002), hlm. 14.</w:t>
      </w:r>
    </w:p>
  </w:footnote>
  <w:footnote w:id="5">
    <w:p w14:paraId="6DED1FC0"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Abu Hamid al-Ghazali, </w:t>
      </w:r>
      <w:r w:rsidRPr="009E2C58">
        <w:rPr>
          <w:rFonts w:ascii="Gramond" w:hAnsi="Gramond" w:cs="Times New Roman"/>
          <w:i/>
          <w:iCs/>
        </w:rPr>
        <w:t>Ihya’ Ulum al-Din</w:t>
      </w:r>
      <w:r w:rsidRPr="009E2C58">
        <w:rPr>
          <w:rFonts w:ascii="Gramond" w:hAnsi="Gramond" w:cs="Times New Roman"/>
        </w:rPr>
        <w:t>, Jilid III (Beirut: Dar al-Fikr, 2005), hlm. 59.</w:t>
      </w:r>
    </w:p>
  </w:footnote>
  <w:footnote w:id="6">
    <w:p w14:paraId="3CE80954" w14:textId="77777777" w:rsidR="002E4888" w:rsidRPr="009E2C58" w:rsidRDefault="002E4888" w:rsidP="002E4888">
      <w:pPr>
        <w:pStyle w:val="FootnoteText"/>
        <w:ind w:firstLine="720"/>
        <w:jc w:val="both"/>
        <w:rPr>
          <w:rFonts w:ascii="Gramond" w:hAnsi="Gramond" w:cs="Times New Roman"/>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Thomas Lickona, </w:t>
      </w:r>
      <w:r w:rsidRPr="009E2C58">
        <w:rPr>
          <w:rFonts w:ascii="Gramond" w:hAnsi="Gramond" w:cs="Times New Roman"/>
          <w:i/>
          <w:iCs/>
        </w:rPr>
        <w:t>Education for Character</w:t>
      </w:r>
      <w:r w:rsidRPr="009E2C58">
        <w:rPr>
          <w:rFonts w:ascii="Gramond" w:hAnsi="Gramond" w:cs="Times New Roman"/>
        </w:rPr>
        <w:t xml:space="preserve"> (New York: Bantam Books, 1991), hlm. 67.</w:t>
      </w:r>
    </w:p>
  </w:footnote>
  <w:footnote w:id="7">
    <w:p w14:paraId="2CBAA9AB"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“Kasus Perundungan di Sekolah Meningkat,” </w:t>
      </w:r>
      <w:r w:rsidRPr="009E2C58">
        <w:rPr>
          <w:rFonts w:ascii="Gramond" w:hAnsi="Gramond" w:cs="Times New Roman"/>
          <w:i/>
          <w:iCs/>
        </w:rPr>
        <w:t>Kompas</w:t>
      </w:r>
      <w:r w:rsidRPr="009E2C58">
        <w:rPr>
          <w:rFonts w:ascii="Gramond" w:hAnsi="Gramond" w:cs="Times New Roman"/>
        </w:rPr>
        <w:t>, 2023, diakses 7 November 2025, https://www.kompas.com.</w:t>
      </w:r>
    </w:p>
  </w:footnote>
  <w:footnote w:id="8">
    <w:p w14:paraId="100BC9E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Seyyed Hossein Nasr, </w:t>
      </w:r>
      <w:r w:rsidRPr="009E2C58">
        <w:rPr>
          <w:rFonts w:ascii="Gramond" w:hAnsi="Gramond" w:cs="Times New Roman"/>
          <w:i/>
          <w:iCs/>
        </w:rPr>
        <w:t>Sufi Essays</w:t>
      </w:r>
      <w:r w:rsidRPr="009E2C58">
        <w:rPr>
          <w:rFonts w:ascii="Gramond" w:hAnsi="Gramond" w:cs="Times New Roman"/>
        </w:rPr>
        <w:t xml:space="preserve"> (Chicago: ABC International, 1972), hlm. 88.</w:t>
      </w:r>
    </w:p>
  </w:footnote>
  <w:footnote w:id="9">
    <w:p w14:paraId="2F4D9962"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93.</w:t>
      </w:r>
    </w:p>
  </w:footnote>
  <w:footnote w:id="10">
    <w:p w14:paraId="4F01FEBF"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Abu Hamid al-Ghazali, </w:t>
      </w:r>
      <w:r w:rsidRPr="009E2C58">
        <w:rPr>
          <w:rFonts w:ascii="Gramond" w:hAnsi="Gramond" w:cs="Times New Roman"/>
          <w:i/>
          <w:iCs/>
        </w:rPr>
        <w:t>Ihya’ Ulum al-Din</w:t>
      </w:r>
      <w:r w:rsidRPr="009E2C58">
        <w:rPr>
          <w:rFonts w:ascii="Gramond" w:hAnsi="Gramond" w:cs="Times New Roman"/>
        </w:rPr>
        <w:t>, Jilid I (Beirut: Dar al-Fikr, 2005), hlm. 12.</w:t>
      </w:r>
    </w:p>
  </w:footnote>
  <w:footnote w:id="11">
    <w:p w14:paraId="1A96BD6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20.</w:t>
      </w:r>
    </w:p>
  </w:footnote>
  <w:footnote w:id="12">
    <w:p w14:paraId="23EDE8D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Thomas Lickona, </w:t>
      </w:r>
      <w:r w:rsidRPr="009E2C58">
        <w:rPr>
          <w:rFonts w:ascii="Gramond" w:hAnsi="Gramond" w:cs="Times New Roman"/>
          <w:i/>
          <w:iCs/>
        </w:rPr>
        <w:t>Education for Character</w:t>
      </w:r>
      <w:r w:rsidRPr="009E2C58">
        <w:rPr>
          <w:rFonts w:ascii="Gramond" w:hAnsi="Gramond" w:cs="Times New Roman"/>
        </w:rPr>
        <w:t xml:space="preserve"> (New York: Bantam Books, 1991), hlm. 101.</w:t>
      </w:r>
    </w:p>
  </w:footnote>
  <w:footnote w:id="13">
    <w:p w14:paraId="790A960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Syed Muhammad Naquib al-Attas, </w:t>
      </w:r>
      <w:r w:rsidRPr="009E2C58">
        <w:rPr>
          <w:rFonts w:ascii="Gramond" w:hAnsi="Gramond" w:cs="Times New Roman"/>
          <w:i/>
          <w:iCs/>
        </w:rPr>
        <w:t>Islam and Secularism</w:t>
      </w:r>
      <w:r w:rsidRPr="009E2C58">
        <w:rPr>
          <w:rFonts w:ascii="Gramond" w:hAnsi="Gramond" w:cs="Times New Roman"/>
        </w:rPr>
        <w:t xml:space="preserve"> (Kuala Lumpur: ABIM, 1978), hlm. 154.</w:t>
      </w:r>
    </w:p>
  </w:footnote>
  <w:footnote w:id="14">
    <w:p w14:paraId="262AC2D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160.</w:t>
      </w:r>
    </w:p>
  </w:footnote>
  <w:footnote w:id="15">
    <w:p w14:paraId="51829231"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Harun Nasution, </w:t>
      </w:r>
      <w:r w:rsidRPr="009E2C58">
        <w:rPr>
          <w:rFonts w:ascii="Gramond" w:hAnsi="Gramond" w:cs="Times New Roman"/>
          <w:i/>
          <w:iCs/>
        </w:rPr>
        <w:t>Islam Rasional</w:t>
      </w:r>
      <w:r w:rsidRPr="009E2C58">
        <w:rPr>
          <w:rFonts w:ascii="Gramond" w:hAnsi="Gramond" w:cs="Times New Roman"/>
        </w:rPr>
        <w:t xml:space="preserve"> (Bandung: Mizan, 1995), hlm. 77.</w:t>
      </w:r>
    </w:p>
  </w:footnote>
  <w:footnote w:id="16">
    <w:p w14:paraId="192F4FF3"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Azyumardi Azra, </w:t>
      </w:r>
      <w:r w:rsidRPr="009E2C58">
        <w:rPr>
          <w:rFonts w:ascii="Gramond" w:hAnsi="Gramond" w:cs="Times New Roman"/>
          <w:i/>
          <w:iCs/>
        </w:rPr>
        <w:t>Jaringan Ulama Nusantara</w:t>
      </w:r>
      <w:r w:rsidRPr="009E2C58">
        <w:rPr>
          <w:rFonts w:ascii="Gramond" w:hAnsi="Gramond" w:cs="Times New Roman"/>
        </w:rPr>
        <w:t xml:space="preserve"> (Bandung: Mizan, 1994), hlm. 214.</w:t>
      </w:r>
    </w:p>
  </w:footnote>
  <w:footnote w:id="17">
    <w:p w14:paraId="471AD134"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220.</w:t>
      </w:r>
    </w:p>
  </w:footnote>
  <w:footnote w:id="18">
    <w:p w14:paraId="6AD88D02"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Penulis, Observasi akademik (2025).</w:t>
      </w:r>
    </w:p>
  </w:footnote>
  <w:footnote w:id="19">
    <w:p w14:paraId="305C64FD"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Lexy J. Moleong, </w:t>
      </w:r>
      <w:r w:rsidRPr="009E2C58">
        <w:rPr>
          <w:rFonts w:ascii="Gramond" w:hAnsi="Gramond" w:cs="Times New Roman"/>
          <w:i/>
          <w:iCs/>
        </w:rPr>
        <w:t>Metodologi Penelitian Kualitatif</w:t>
      </w:r>
      <w:r w:rsidRPr="009E2C58">
        <w:rPr>
          <w:rFonts w:ascii="Gramond" w:hAnsi="Gramond" w:cs="Times New Roman"/>
        </w:rPr>
        <w:t xml:space="preserve"> (Bandung: PT Remaja Rosdakarya, 2019), hlm. 6.</w:t>
      </w:r>
    </w:p>
  </w:footnote>
  <w:footnote w:id="20">
    <w:p w14:paraId="639B07DD"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Sugiyono, </w:t>
      </w:r>
      <w:r w:rsidRPr="009E2C58">
        <w:rPr>
          <w:rFonts w:ascii="Gramond" w:hAnsi="Gramond" w:cs="Times New Roman"/>
          <w:i/>
          <w:iCs/>
        </w:rPr>
        <w:t>Metode Penelitian Kualitatif</w:t>
      </w:r>
      <w:r w:rsidRPr="009E2C58">
        <w:rPr>
          <w:rFonts w:ascii="Gramond" w:hAnsi="Gramond" w:cs="Times New Roman"/>
        </w:rPr>
        <w:t xml:space="preserve"> (Bandung: Alfabeta, 2017), hlm. 9.</w:t>
      </w:r>
    </w:p>
  </w:footnote>
  <w:footnote w:id="21">
    <w:p w14:paraId="4D898DD7"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Sugiyono, </w:t>
      </w:r>
      <w:r w:rsidRPr="009E2C58">
        <w:rPr>
          <w:rFonts w:ascii="Gramond" w:hAnsi="Gramond" w:cs="Times New Roman"/>
          <w:i/>
          <w:iCs/>
        </w:rPr>
        <w:t>Metode Penelitian Pendidikan: Pendekatan Kuantitatif, Kualitatif dan R&amp;D</w:t>
      </w:r>
      <w:r w:rsidRPr="009E2C58">
        <w:rPr>
          <w:rFonts w:ascii="Gramond" w:hAnsi="Gramond" w:cs="Times New Roman"/>
        </w:rPr>
        <w:t xml:space="preserve"> (Bandung: Alfabeta, 2019), hlm. 84.</w:t>
      </w:r>
    </w:p>
  </w:footnote>
  <w:footnote w:id="22">
    <w:p w14:paraId="311341C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Matthew B. Miles &amp; A. Michael Huberman, </w:t>
      </w:r>
      <w:r w:rsidRPr="009E2C58">
        <w:rPr>
          <w:rFonts w:ascii="Gramond" w:hAnsi="Gramond" w:cs="Times New Roman"/>
          <w:i/>
          <w:iCs/>
        </w:rPr>
        <w:t>Qualitative Data Analysis</w:t>
      </w:r>
      <w:r w:rsidRPr="009E2C58">
        <w:rPr>
          <w:rFonts w:ascii="Gramond" w:hAnsi="Gramond" w:cs="Times New Roman"/>
        </w:rPr>
        <w:t xml:space="preserve"> (California: Sage Publications, 1994), hlm. 266.</w:t>
      </w:r>
    </w:p>
  </w:footnote>
  <w:footnote w:id="23">
    <w:p w14:paraId="4AD0475D" w14:textId="77777777" w:rsidR="002E4888" w:rsidRPr="009E2C58" w:rsidRDefault="002E4888" w:rsidP="002E4888">
      <w:pPr>
        <w:pStyle w:val="FootnoteText"/>
        <w:ind w:firstLine="720"/>
        <w:jc w:val="both"/>
        <w:rPr>
          <w:rFonts w:ascii="Gramond" w:hAnsi="Gramond" w:cs="Times New Roman"/>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12.</w:t>
      </w:r>
    </w:p>
  </w:footnote>
  <w:footnote w:id="24">
    <w:p w14:paraId="1E51704C"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Harun Nasution, </w:t>
      </w:r>
      <w:r w:rsidRPr="009E2C58">
        <w:rPr>
          <w:rFonts w:ascii="Gramond" w:hAnsi="Gramond" w:cs="Times New Roman"/>
          <w:i/>
          <w:iCs/>
        </w:rPr>
        <w:t>Islam Ditinjau dari Berbagai Aspeknya</w:t>
      </w:r>
      <w:r w:rsidRPr="009E2C58">
        <w:rPr>
          <w:rFonts w:ascii="Gramond" w:hAnsi="Gramond" w:cs="Times New Roman"/>
        </w:rPr>
        <w:t>, (Jakarta: UI Press, 1985), hlm. 61.</w:t>
      </w:r>
    </w:p>
  </w:footnote>
  <w:footnote w:id="25">
    <w:p w14:paraId="354DD014"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Azyumardi Azra, </w:t>
      </w:r>
      <w:r w:rsidRPr="009E2C58">
        <w:rPr>
          <w:rFonts w:ascii="Gramond" w:hAnsi="Gramond" w:cs="Times New Roman"/>
          <w:i/>
          <w:iCs/>
        </w:rPr>
        <w:t>Pendidikan Islam: Tradisi dan Modernisasi</w:t>
      </w:r>
      <w:r w:rsidRPr="009E2C58">
        <w:rPr>
          <w:rFonts w:ascii="Gramond" w:hAnsi="Gramond" w:cs="Times New Roman"/>
        </w:rPr>
        <w:t>, (Jakarta: Kencana, 2012), hlm. 102.</w:t>
      </w:r>
    </w:p>
  </w:footnote>
  <w:footnote w:id="26">
    <w:p w14:paraId="05345926"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Abu Hamid al-Ghazali, </w:t>
      </w:r>
      <w:r w:rsidRPr="009E2C58">
        <w:rPr>
          <w:rFonts w:ascii="Gramond" w:hAnsi="Gramond" w:cs="Times New Roman"/>
          <w:i/>
          <w:iCs/>
        </w:rPr>
        <w:t>Ihya’ Ulum al-Din</w:t>
      </w:r>
      <w:r w:rsidRPr="009E2C58">
        <w:rPr>
          <w:rFonts w:ascii="Gramond" w:hAnsi="Gramond" w:cs="Times New Roman"/>
        </w:rPr>
        <w:t>, Jilid III (Beirut: Dar al-Fikr, 1997), hlm. 18.</w:t>
      </w:r>
    </w:p>
  </w:footnote>
  <w:footnote w:id="27">
    <w:p w14:paraId="444CBE07"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23.</w:t>
      </w:r>
    </w:p>
  </w:footnote>
  <w:footnote w:id="28">
    <w:p w14:paraId="4F22E75C"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M. Quraish Shihab, </w:t>
      </w:r>
      <w:r w:rsidRPr="009E2C58">
        <w:rPr>
          <w:rFonts w:ascii="Gramond" w:hAnsi="Gramond" w:cs="Times New Roman"/>
          <w:i/>
          <w:iCs/>
        </w:rPr>
        <w:t>Membumikan Al-Qur’an</w:t>
      </w:r>
      <w:r w:rsidRPr="009E2C58">
        <w:rPr>
          <w:rFonts w:ascii="Gramond" w:hAnsi="Gramond" w:cs="Times New Roman"/>
        </w:rPr>
        <w:t>, (Jakarta: Lentera Hati, 2007), hlm. 211.</w:t>
      </w:r>
    </w:p>
  </w:footnote>
  <w:footnote w:id="29">
    <w:p w14:paraId="0912A5F1"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Syed Muhammad Naquib al-Attas, </w:t>
      </w:r>
      <w:r w:rsidRPr="009E2C58">
        <w:rPr>
          <w:rFonts w:ascii="Gramond" w:hAnsi="Gramond" w:cs="Times New Roman"/>
          <w:i/>
          <w:iCs/>
        </w:rPr>
        <w:t>Islam and Secularism</w:t>
      </w:r>
      <w:r w:rsidRPr="009E2C58">
        <w:rPr>
          <w:rFonts w:ascii="Gramond" w:hAnsi="Gramond" w:cs="Times New Roman"/>
        </w:rPr>
        <w:t>, (Kuala Lumpur: ISTAC, 1993), hlm. 124.</w:t>
      </w:r>
    </w:p>
  </w:footnote>
  <w:footnote w:id="30">
    <w:p w14:paraId="2B74C925"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Wawancara Mahasiswa STIT Balikpapan, 2025.</w:t>
      </w:r>
    </w:p>
  </w:footnote>
  <w:footnote w:id="31">
    <w:p w14:paraId="3A556BE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Abu Hamid al-Ghazali, </w:t>
      </w:r>
      <w:r w:rsidRPr="009E2C58">
        <w:rPr>
          <w:rFonts w:ascii="Gramond" w:hAnsi="Gramond" w:cs="Times New Roman"/>
          <w:i/>
          <w:iCs/>
        </w:rPr>
        <w:t>Ihya’ Ulum al-Din</w:t>
      </w:r>
      <w:r w:rsidRPr="009E2C58">
        <w:rPr>
          <w:rFonts w:ascii="Gramond" w:hAnsi="Gramond" w:cs="Times New Roman"/>
        </w:rPr>
        <w:t>, Jilid II (Beirut: Dar al-Fikr, 1997), hlm. 45.</w:t>
      </w:r>
    </w:p>
  </w:footnote>
  <w:footnote w:id="32">
    <w:p w14:paraId="7A1A5AFB"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53.</w:t>
      </w:r>
    </w:p>
  </w:footnote>
  <w:footnote w:id="33">
    <w:p w14:paraId="602140FF"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 hlm. 67.</w:t>
      </w:r>
    </w:p>
  </w:footnote>
  <w:footnote w:id="34">
    <w:p w14:paraId="76C7738A"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Daniel Goleman, </w:t>
      </w:r>
      <w:r w:rsidRPr="009E2C58">
        <w:rPr>
          <w:rFonts w:ascii="Gramond" w:hAnsi="Gramond" w:cs="Times New Roman"/>
          <w:i/>
          <w:iCs/>
        </w:rPr>
        <w:t>Emotional Intelligence: Why It Can Matter More Than IQ</w:t>
      </w:r>
      <w:r w:rsidRPr="009E2C58">
        <w:rPr>
          <w:rFonts w:ascii="Gramond" w:hAnsi="Gramond" w:cs="Times New Roman"/>
        </w:rPr>
        <w:t>, (New York: Bantam Books, 1995), hlm. 33.</w:t>
      </w:r>
    </w:p>
  </w:footnote>
  <w:footnote w:id="35">
    <w:p w14:paraId="5CA86D77"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Ibn Athaillah, </w:t>
      </w:r>
      <w:r w:rsidRPr="009E2C58">
        <w:rPr>
          <w:rFonts w:ascii="Gramond" w:hAnsi="Gramond" w:cs="Times New Roman"/>
          <w:i/>
          <w:iCs/>
        </w:rPr>
        <w:t>Al-Hikam</w:t>
      </w:r>
      <w:r w:rsidRPr="009E2C58">
        <w:rPr>
          <w:rFonts w:ascii="Gramond" w:hAnsi="Gramond" w:cs="Times New Roman"/>
        </w:rPr>
        <w:t>, (Beirut: Dar al-Kutub al-Ilmiyyah, 2003), hlm. 51.</w:t>
      </w:r>
    </w:p>
  </w:footnote>
  <w:footnote w:id="36">
    <w:p w14:paraId="447C63A5" w14:textId="77777777" w:rsidR="002E4888" w:rsidRPr="009E2C58" w:rsidRDefault="002E4888" w:rsidP="002E4888">
      <w:pPr>
        <w:pStyle w:val="FootnoteText"/>
        <w:ind w:firstLine="720"/>
        <w:jc w:val="both"/>
        <w:rPr>
          <w:rFonts w:ascii="Gramond" w:hAnsi="Gramond" w:cs="Times New Roman"/>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Daniel Goleman, </w:t>
      </w:r>
      <w:r w:rsidRPr="009E2C58">
        <w:rPr>
          <w:rFonts w:ascii="Gramond" w:hAnsi="Gramond" w:cs="Times New Roman"/>
          <w:i/>
          <w:iCs/>
        </w:rPr>
        <w:t>Emotional Intelligence: Why It Can Matter More Than IQ</w:t>
      </w:r>
      <w:r w:rsidRPr="009E2C58">
        <w:rPr>
          <w:rFonts w:ascii="Gramond" w:hAnsi="Gramond" w:cs="Times New Roman"/>
        </w:rPr>
        <w:t xml:space="preserve"> (New York: Bantam Books, 1995), hlm. 78.</w:t>
      </w:r>
    </w:p>
  </w:footnote>
  <w:footnote w:id="37">
    <w:p w14:paraId="73077C9E" w14:textId="77777777" w:rsidR="002E4888" w:rsidRPr="009E2C58" w:rsidRDefault="002E4888" w:rsidP="002E4888">
      <w:pPr>
        <w:pStyle w:val="FootnoteText"/>
        <w:ind w:firstLine="720"/>
        <w:jc w:val="both"/>
        <w:rPr>
          <w:rFonts w:ascii="Gramond" w:hAnsi="Gramond" w:cs="Times New Roman"/>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Wawancara Mahasiswa STIT Balikpapan, 2025.</w:t>
      </w:r>
    </w:p>
  </w:footnote>
  <w:footnote w:id="38">
    <w:p w14:paraId="0144A4C6"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Syed Muhammad Naquib al-Attas, </w:t>
      </w:r>
      <w:r w:rsidRPr="009E2C58">
        <w:rPr>
          <w:rFonts w:ascii="Gramond" w:hAnsi="Gramond" w:cs="Times New Roman"/>
          <w:i/>
          <w:iCs/>
        </w:rPr>
        <w:t>Islam and Education</w:t>
      </w:r>
      <w:r w:rsidRPr="009E2C58">
        <w:rPr>
          <w:rFonts w:ascii="Gramond" w:hAnsi="Gramond" w:cs="Times New Roman"/>
        </w:rPr>
        <w:t xml:space="preserve"> (Kuala Lumpur: ISTAC, 1997), hlm. 15.</w:t>
      </w:r>
    </w:p>
  </w:footnote>
  <w:footnote w:id="39">
    <w:p w14:paraId="4171FEA5"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Harun Nasution, </w:t>
      </w:r>
      <w:r w:rsidRPr="009E2C58">
        <w:rPr>
          <w:rFonts w:ascii="Gramond" w:hAnsi="Gramond" w:cs="Times New Roman"/>
          <w:i/>
          <w:iCs/>
        </w:rPr>
        <w:t>Islam Ditinjau dari Berbagai Aspeknya</w:t>
      </w:r>
      <w:r w:rsidRPr="009E2C58">
        <w:rPr>
          <w:rFonts w:ascii="Gramond" w:hAnsi="Gramond" w:cs="Times New Roman"/>
        </w:rPr>
        <w:t>, Jilid II (Jakarta: UI Press, 1985), hlm. 84.</w:t>
      </w:r>
    </w:p>
  </w:footnote>
  <w:footnote w:id="40">
    <w:p w14:paraId="4D42DB0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Observasi lapangan STIT Balikpapan, 2025.</w:t>
      </w:r>
    </w:p>
  </w:footnote>
  <w:footnote w:id="41">
    <w:p w14:paraId="18DA889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rPr>
        <w:footnoteRef/>
      </w:r>
      <w:r>
        <w:rPr>
          <w:rFonts w:ascii="Gramond" w:hAnsi="Gramond" w:cs="Times New Roman"/>
        </w:rPr>
        <w:t xml:space="preserve"> </w:t>
      </w:r>
      <w:r w:rsidRPr="009E2C58">
        <w:rPr>
          <w:rFonts w:ascii="Gramond" w:hAnsi="Gramond" w:cs="Times New Roman"/>
        </w:rPr>
        <w:t>Wawancara Mahasiswa STIT Balikpapan, 2025.</w:t>
      </w:r>
    </w:p>
  </w:footnote>
  <w:footnote w:id="42">
    <w:p w14:paraId="12B70743"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Wawancara Mahasiswa STIT Balikpapan, 2025.</w:t>
      </w:r>
    </w:p>
  </w:footnote>
  <w:footnote w:id="43">
    <w:p w14:paraId="129E593A"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sidRPr="009E2C58">
        <w:rPr>
          <w:rFonts w:ascii="Gramond" w:hAnsi="Gramond" w:cs="Times New Roman"/>
        </w:rPr>
        <w:t>I</w:t>
      </w:r>
      <w:r>
        <w:rPr>
          <w:rFonts w:ascii="Gramond" w:hAnsi="Gramond" w:cs="Times New Roman"/>
        </w:rPr>
        <w:t xml:space="preserve"> </w:t>
      </w:r>
      <w:r w:rsidRPr="009E2C58">
        <w:rPr>
          <w:rFonts w:ascii="Gramond" w:hAnsi="Gramond" w:cs="Times New Roman"/>
        </w:rPr>
        <w:t>bid.</w:t>
      </w:r>
    </w:p>
  </w:footnote>
  <w:footnote w:id="44">
    <w:p w14:paraId="5FD1CF46"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Observasi kelas Tasawuf STIT Balikpapan, 2025.</w:t>
      </w:r>
    </w:p>
  </w:footnote>
  <w:footnote w:id="45">
    <w:p w14:paraId="0F099C08"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Abu Hamid al-Ghazali, </w:t>
      </w:r>
      <w:r w:rsidRPr="009E2C58">
        <w:rPr>
          <w:rFonts w:ascii="Gramond" w:hAnsi="Gramond" w:cs="Times New Roman"/>
          <w:i/>
          <w:iCs/>
        </w:rPr>
        <w:t>Ihya’ Ulum al-Din</w:t>
      </w:r>
      <w:r w:rsidRPr="009E2C58">
        <w:rPr>
          <w:rFonts w:ascii="Gramond" w:hAnsi="Gramond" w:cs="Times New Roman"/>
        </w:rPr>
        <w:t>, Jilid IV (Beirut: Dar al-Fikr, 2005), hlm. 102.</w:t>
      </w:r>
    </w:p>
  </w:footnote>
  <w:footnote w:id="46">
    <w:p w14:paraId="7EB38C16"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Dokumen Akademik STIT Balikpapan, 2025.</w:t>
      </w:r>
    </w:p>
  </w:footnote>
  <w:footnote w:id="47">
    <w:p w14:paraId="49121623"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Mentoring Rohani Mahasiswa STIT, 2025.</w:t>
      </w:r>
    </w:p>
  </w:footnote>
  <w:footnote w:id="48">
    <w:p w14:paraId="55E81727"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Syed Muhammad Naquib al-Attas, </w:t>
      </w:r>
      <w:r w:rsidRPr="009E2C58">
        <w:rPr>
          <w:rFonts w:ascii="Gramond" w:hAnsi="Gramond" w:cs="Times New Roman"/>
          <w:i/>
          <w:iCs/>
        </w:rPr>
        <w:t>Prolegomena to the Metaphysics of Islam</w:t>
      </w:r>
      <w:r w:rsidRPr="009E2C58">
        <w:rPr>
          <w:rFonts w:ascii="Gramond" w:hAnsi="Gramond" w:cs="Times New Roman"/>
        </w:rPr>
        <w:t xml:space="preserve"> (Kuala Lumpur: International Institute of Islamic Thought and Civilization [ISTAC], 1995), hlm. 73.</w:t>
      </w:r>
    </w:p>
  </w:footnote>
  <w:footnote w:id="49">
    <w:p w14:paraId="43CD163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rPr>
        <w:footnoteRef/>
      </w:r>
      <w:r>
        <w:rPr>
          <w:rFonts w:ascii="Gramond" w:hAnsi="Gramond" w:cs="Times New Roman"/>
        </w:rPr>
        <w:t xml:space="preserve"> </w:t>
      </w:r>
      <w:r w:rsidRPr="009E2C58">
        <w:rPr>
          <w:rFonts w:ascii="Gramond" w:hAnsi="Gramond" w:cs="Times New Roman"/>
        </w:rPr>
        <w:t>Wawancara Mahasiswa STIT Balikpapan, 2025.</w:t>
      </w:r>
    </w:p>
  </w:footnote>
  <w:footnote w:id="50">
    <w:p w14:paraId="2DDA677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Harun Nasution, </w:t>
      </w:r>
      <w:r w:rsidRPr="009E2C58">
        <w:rPr>
          <w:rFonts w:ascii="Gramond" w:hAnsi="Gramond" w:cs="Times New Roman"/>
          <w:i/>
          <w:iCs/>
        </w:rPr>
        <w:t>Islam Rasional: Gagasan dan Pemikiran</w:t>
      </w:r>
      <w:r w:rsidRPr="009E2C58">
        <w:rPr>
          <w:rFonts w:ascii="Gramond" w:hAnsi="Gramond" w:cs="Times New Roman"/>
        </w:rPr>
        <w:t xml:space="preserve"> (Bandung: Mizan, 2012), hlm. 144.</w:t>
      </w:r>
    </w:p>
  </w:footnote>
  <w:footnote w:id="51">
    <w:p w14:paraId="2EC11DFF"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Azyumardi Azra, </w:t>
      </w:r>
      <w:r w:rsidRPr="009E2C58">
        <w:rPr>
          <w:rFonts w:ascii="Gramond" w:hAnsi="Gramond" w:cs="Times New Roman"/>
          <w:i/>
          <w:iCs/>
        </w:rPr>
        <w:t>Pesantren dan Tasawuf</w:t>
      </w:r>
      <w:r w:rsidRPr="009E2C58">
        <w:rPr>
          <w:rFonts w:ascii="Gramond" w:hAnsi="Gramond" w:cs="Times New Roman"/>
        </w:rPr>
        <w:t xml:space="preserve"> (Jakarta: Prenada Media Group, 2013), hlm. 57.</w:t>
      </w:r>
    </w:p>
  </w:footnote>
  <w:footnote w:id="52">
    <w:p w14:paraId="41A89594"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M. Quraish Shihab, </w:t>
      </w:r>
      <w:r w:rsidRPr="009E2C58">
        <w:rPr>
          <w:rFonts w:ascii="Gramond" w:hAnsi="Gramond" w:cs="Times New Roman"/>
          <w:i/>
          <w:iCs/>
        </w:rPr>
        <w:t>Wawasan Al-Qur’an: Tafsir Maudhu’i atas Pelbagai Persoalan Umat</w:t>
      </w:r>
      <w:r w:rsidRPr="009E2C58">
        <w:rPr>
          <w:rFonts w:ascii="Gramond" w:hAnsi="Gramond" w:cs="Times New Roman"/>
        </w:rPr>
        <w:t xml:space="preserve"> (Jakarta: Lentera Hati, 2007), hlm. 287.</w:t>
      </w:r>
    </w:p>
  </w:footnote>
  <w:footnote w:id="53">
    <w:p w14:paraId="7B7F35B7"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 xml:space="preserve">Azyumardi Azra, </w:t>
      </w:r>
      <w:r w:rsidRPr="009E2C58">
        <w:rPr>
          <w:rFonts w:ascii="Gramond" w:hAnsi="Gramond" w:cs="Times New Roman"/>
          <w:i/>
          <w:iCs/>
        </w:rPr>
        <w:t>Pendidikan Islam: Tradisi dan Modernisasi Menuju Milenium Baru</w:t>
      </w:r>
      <w:r w:rsidRPr="009E2C58">
        <w:rPr>
          <w:rFonts w:ascii="Gramond" w:hAnsi="Gramond" w:cs="Times New Roman"/>
        </w:rPr>
        <w:t xml:space="preserve"> (Jakarta: Logos Wacana Ilmu, 1999), hlm. 144.</w:t>
      </w:r>
    </w:p>
  </w:footnote>
  <w:footnote w:id="54">
    <w:p w14:paraId="5A3C9D59"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Wawancara mahasiswa, 2025.</w:t>
      </w:r>
    </w:p>
  </w:footnote>
  <w:footnote w:id="55">
    <w:p w14:paraId="626D4083"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Observasi kegiatan kampus, 2025.</w:t>
      </w:r>
    </w:p>
  </w:footnote>
  <w:footnote w:id="56">
    <w:p w14:paraId="1450D1FC"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Dokumentasi akademik STIT, 2025.</w:t>
      </w:r>
    </w:p>
  </w:footnote>
  <w:footnote w:id="57">
    <w:p w14:paraId="7B9475B4"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Wawancara mahasiswa, 2025.</w:t>
      </w:r>
    </w:p>
  </w:footnote>
  <w:footnote w:id="58">
    <w:p w14:paraId="09746D56"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cs="Times New Roman"/>
        </w:rPr>
        <w:footnoteRef/>
      </w:r>
      <w:r>
        <w:rPr>
          <w:rFonts w:ascii="Gramond" w:hAnsi="Gramond" w:cs="Times New Roman"/>
        </w:rPr>
        <w:t xml:space="preserve"> </w:t>
      </w:r>
      <w:r w:rsidRPr="009E2C58">
        <w:rPr>
          <w:rFonts w:ascii="Gramond" w:hAnsi="Gramond" w:cs="Times New Roman"/>
        </w:rPr>
        <w:t>Ibid.</w:t>
      </w:r>
    </w:p>
  </w:footnote>
  <w:footnote w:id="59">
    <w:p w14:paraId="529321EE" w14:textId="77777777" w:rsidR="002E4888" w:rsidRPr="009E2C58" w:rsidRDefault="002E4888" w:rsidP="002E4888">
      <w:pPr>
        <w:pStyle w:val="FootnoteText"/>
        <w:ind w:firstLine="720"/>
        <w:jc w:val="both"/>
        <w:rPr>
          <w:rFonts w:ascii="Gramond" w:hAnsi="Gramond" w:cs="Times New Roman"/>
          <w:lang w:val="en-US"/>
        </w:rPr>
      </w:pPr>
      <w:r w:rsidRPr="009E2C58">
        <w:rPr>
          <w:rStyle w:val="FootnoteReference"/>
          <w:rFonts w:ascii="Gramond" w:hAnsi="Gramond"/>
        </w:rPr>
        <w:footnoteRef/>
      </w:r>
      <w:r>
        <w:rPr>
          <w:rFonts w:ascii="Gramond" w:hAnsi="Gramond" w:cs="Times New Roman"/>
        </w:rPr>
        <w:t xml:space="preserve"> </w:t>
      </w:r>
      <w:r w:rsidRPr="009E2C58">
        <w:rPr>
          <w:rFonts w:ascii="Gramond" w:hAnsi="Gramond" w:cs="Times New Roman"/>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5A17A94B"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D224D0">
      <w:rPr>
        <w:rFonts w:ascii="Garamond" w:eastAsia="Garamond" w:hAnsi="Garamond" w:cs="Garamond"/>
        <w:b/>
        <w:lang w:val="en-US"/>
      </w:rPr>
      <w:t>1</w:t>
    </w:r>
    <w:r>
      <w:rPr>
        <w:rFonts w:ascii="Garamond" w:eastAsia="Garamond" w:hAnsi="Garamond" w:cs="Garamond"/>
        <w:b/>
      </w:rPr>
      <w:t xml:space="preserve">, </w:t>
    </w:r>
    <w:proofErr w:type="spellStart"/>
    <w:r w:rsidR="00D224D0">
      <w:rPr>
        <w:rFonts w:ascii="Garamond" w:eastAsia="Garamond" w:hAnsi="Garamond" w:cs="Garamond"/>
        <w:b/>
        <w:lang w:val="en-US"/>
      </w:rPr>
      <w:t>Juni</w:t>
    </w:r>
    <w:proofErr w:type="spellEnd"/>
    <w:r w:rsidR="00D224D0">
      <w:rPr>
        <w:rFonts w:ascii="Garamond" w:eastAsia="Garamond" w:hAnsi="Garamond" w:cs="Garamond"/>
        <w:b/>
        <w:lang w:val="en-US"/>
      </w:rPr>
      <w:t xml:space="preserve"> 2024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21FCD"/>
    <w:multiLevelType w:val="hybridMultilevel"/>
    <w:tmpl w:val="9CB8A9B2"/>
    <w:lvl w:ilvl="0" w:tplc="C86444D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186924"/>
    <w:multiLevelType w:val="hybridMultilevel"/>
    <w:tmpl w:val="B0EAADE6"/>
    <w:lvl w:ilvl="0" w:tplc="E8187838">
      <w:start w:val="3"/>
      <w:numFmt w:val="decimal"/>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 w15:restartNumberingAfterBreak="0">
    <w:nsid w:val="3C2B7D11"/>
    <w:multiLevelType w:val="hybridMultilevel"/>
    <w:tmpl w:val="35C661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47DC7510"/>
    <w:multiLevelType w:val="hybridMultilevel"/>
    <w:tmpl w:val="54968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B342A"/>
    <w:multiLevelType w:val="multilevel"/>
    <w:tmpl w:val="CB88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EB563D"/>
    <w:multiLevelType w:val="hybridMultilevel"/>
    <w:tmpl w:val="7272E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4"/>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E1A1B"/>
    <w:rsid w:val="000F46B8"/>
    <w:rsid w:val="002440FA"/>
    <w:rsid w:val="00260DAF"/>
    <w:rsid w:val="002C0BB1"/>
    <w:rsid w:val="002E4888"/>
    <w:rsid w:val="00315A96"/>
    <w:rsid w:val="004C7640"/>
    <w:rsid w:val="00500A22"/>
    <w:rsid w:val="005260E0"/>
    <w:rsid w:val="005A74CF"/>
    <w:rsid w:val="00637CAE"/>
    <w:rsid w:val="006463C6"/>
    <w:rsid w:val="00694D5F"/>
    <w:rsid w:val="006B16CB"/>
    <w:rsid w:val="00736E51"/>
    <w:rsid w:val="00750E73"/>
    <w:rsid w:val="00806466"/>
    <w:rsid w:val="00812A0B"/>
    <w:rsid w:val="00881E69"/>
    <w:rsid w:val="00883795"/>
    <w:rsid w:val="0090543B"/>
    <w:rsid w:val="009463A9"/>
    <w:rsid w:val="00976ACA"/>
    <w:rsid w:val="00A413B2"/>
    <w:rsid w:val="00A75392"/>
    <w:rsid w:val="00AE3A77"/>
    <w:rsid w:val="00B051E7"/>
    <w:rsid w:val="00B272A5"/>
    <w:rsid w:val="00B512D6"/>
    <w:rsid w:val="00BC66B3"/>
    <w:rsid w:val="00C542AC"/>
    <w:rsid w:val="00CB646B"/>
    <w:rsid w:val="00D224D0"/>
    <w:rsid w:val="00E23EE7"/>
    <w:rsid w:val="00EA74BE"/>
    <w:rsid w:val="00F27532"/>
    <w:rsid w:val="00FA5CEE"/>
    <w:rsid w:val="00FE1274"/>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styleId="Emphasis">
    <w:name w:val="Emphasis"/>
    <w:basedOn w:val="DefaultParagraphFont"/>
    <w:uiPriority w:val="20"/>
    <w:qFormat/>
    <w:rsid w:val="00FA5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roisboi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rtaufik@gmail.com" TargetMode="External"/><Relationship Id="rId4" Type="http://schemas.openxmlformats.org/officeDocument/2006/relationships/settings" Target="settings.xml"/><Relationship Id="rId9" Type="http://schemas.openxmlformats.org/officeDocument/2006/relationships/hyperlink" Target="mailto:zackahmed375@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5917-A404-4276-BF0C-FD5CD56F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2025-11-25T03:41:00Z</dcterms:created>
  <dcterms:modified xsi:type="dcterms:W3CDTF">2025-11-25T07:14:00Z</dcterms:modified>
</cp:coreProperties>
</file>